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0" w:type="pct"/>
        <w:tblCellSpacing w:w="0" w:type="dxa"/>
        <w:tblCellMar>
          <w:left w:w="0" w:type="dxa"/>
          <w:right w:w="0" w:type="dxa"/>
        </w:tblCellMar>
        <w:tblLook w:val="04A0" w:firstRow="1" w:lastRow="0" w:firstColumn="1" w:lastColumn="0" w:noHBand="0" w:noVBand="1"/>
      </w:tblPr>
      <w:tblGrid>
        <w:gridCol w:w="11009"/>
      </w:tblGrid>
      <w:tr w:rsidR="006630D7" w:rsidRPr="006630D7" w:rsidTr="009C3B52">
        <w:trPr>
          <w:trHeight w:val="14484"/>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009"/>
            </w:tblGrid>
            <w:tr w:rsidR="006630D7" w:rsidRPr="00D76C44" w:rsidTr="009C3B52">
              <w:trPr>
                <w:trHeight w:val="14484"/>
                <w:tblCellSpacing w:w="0" w:type="dxa"/>
              </w:trPr>
              <w:tc>
                <w:tcPr>
                  <w:tcW w:w="5000" w:type="pct"/>
                  <w:vAlign w:val="center"/>
                  <w:hideMark/>
                </w:tcPr>
                <w:tbl>
                  <w:tblPr>
                    <w:tblW w:w="9122" w:type="dxa"/>
                    <w:jc w:val="center"/>
                    <w:tblCellSpacing w:w="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4"/>
                    <w:gridCol w:w="683"/>
                    <w:gridCol w:w="823"/>
                    <w:gridCol w:w="642"/>
                  </w:tblGrid>
                  <w:tr w:rsidR="009C7AB7" w:rsidRPr="00D76C44" w:rsidTr="00791523">
                    <w:trPr>
                      <w:trHeight w:val="495"/>
                      <w:tblCellSpacing w:w="7" w:type="dxa"/>
                      <w:jc w:val="center"/>
                    </w:trPr>
                    <w:tc>
                      <w:tcPr>
                        <w:tcW w:w="3823" w:type="pct"/>
                        <w:vMerge w:val="restart"/>
                        <w:shd w:val="clear" w:color="auto" w:fill="EFEFEF"/>
                        <w:vAlign w:val="center"/>
                        <w:hideMark/>
                      </w:tcPr>
                      <w:p w:rsidR="009C7AB7" w:rsidRPr="00D76C44" w:rsidRDefault="009C7AB7" w:rsidP="006630D7">
                        <w:pPr>
                          <w:spacing w:after="0" w:line="240" w:lineRule="auto"/>
                          <w:jc w:val="center"/>
                          <w:rPr>
                            <w:rFonts w:ascii="Arial" w:eastAsia="Times New Roman" w:hAnsi="Arial" w:cs="Arial"/>
                            <w:b/>
                            <w:bCs/>
                            <w:color w:val="444444"/>
                            <w:sz w:val="18"/>
                            <w:szCs w:val="18"/>
                            <w:lang w:eastAsia="lt-LT"/>
                          </w:rPr>
                        </w:pPr>
                        <w:bookmarkStart w:id="0" w:name="top"/>
                        <w:r w:rsidRPr="00D76C44">
                          <w:rPr>
                            <w:rFonts w:ascii="Arial" w:eastAsia="Times New Roman" w:hAnsi="Arial" w:cs="Arial"/>
                            <w:b/>
                            <w:bCs/>
                            <w:color w:val="444444"/>
                            <w:sz w:val="18"/>
                            <w:szCs w:val="18"/>
                            <w:lang w:eastAsia="lt-LT"/>
                          </w:rPr>
                          <w:t>Keleivių kategorija</w:t>
                        </w:r>
                      </w:p>
                    </w:tc>
                    <w:tc>
                      <w:tcPr>
                        <w:tcW w:w="1154" w:type="pct"/>
                        <w:gridSpan w:val="3"/>
                        <w:shd w:val="clear" w:color="auto" w:fill="EFEFEF"/>
                        <w:vAlign w:val="center"/>
                        <w:hideMark/>
                      </w:tcPr>
                      <w:p w:rsidR="009C7AB7" w:rsidRPr="00D76C44" w:rsidRDefault="009C7AB7" w:rsidP="006630D7">
                        <w:pPr>
                          <w:spacing w:after="0" w:line="240" w:lineRule="auto"/>
                          <w:jc w:val="center"/>
                          <w:rPr>
                            <w:rFonts w:ascii="Arial" w:eastAsia="Times New Roman" w:hAnsi="Arial" w:cs="Arial"/>
                            <w:b/>
                            <w:bCs/>
                            <w:color w:val="444444"/>
                            <w:sz w:val="18"/>
                            <w:szCs w:val="18"/>
                            <w:lang w:eastAsia="lt-LT"/>
                          </w:rPr>
                        </w:pPr>
                        <w:r w:rsidRPr="00D76C44">
                          <w:rPr>
                            <w:rFonts w:ascii="Arial" w:eastAsia="Times New Roman" w:hAnsi="Arial" w:cs="Arial"/>
                            <w:b/>
                            <w:bCs/>
                            <w:color w:val="444444"/>
                            <w:sz w:val="18"/>
                            <w:szCs w:val="18"/>
                            <w:lang w:eastAsia="lt-LT"/>
                          </w:rPr>
                          <w:t>Vietinio susisiekimo (priemiestiniais) autobusais</w:t>
                        </w:r>
                      </w:p>
                    </w:tc>
                  </w:tr>
                  <w:tr w:rsidR="009C7AB7" w:rsidRPr="00D76C44" w:rsidTr="00791523">
                    <w:trPr>
                      <w:trHeight w:val="243"/>
                      <w:tblCellSpacing w:w="7" w:type="dxa"/>
                      <w:jc w:val="center"/>
                    </w:trPr>
                    <w:tc>
                      <w:tcPr>
                        <w:tcW w:w="3823" w:type="pct"/>
                        <w:vMerge/>
                        <w:vAlign w:val="center"/>
                        <w:hideMark/>
                      </w:tcPr>
                      <w:p w:rsidR="009C7AB7" w:rsidRPr="00D76C44" w:rsidRDefault="009C7AB7" w:rsidP="006630D7">
                        <w:pPr>
                          <w:spacing w:after="0" w:line="240" w:lineRule="auto"/>
                          <w:rPr>
                            <w:rFonts w:ascii="Arial" w:eastAsia="Times New Roman" w:hAnsi="Arial" w:cs="Arial"/>
                            <w:b/>
                            <w:bCs/>
                            <w:color w:val="444444"/>
                            <w:sz w:val="18"/>
                            <w:szCs w:val="18"/>
                            <w:lang w:eastAsia="lt-LT"/>
                          </w:rPr>
                        </w:pPr>
                      </w:p>
                    </w:tc>
                    <w:tc>
                      <w:tcPr>
                        <w:tcW w:w="368" w:type="pct"/>
                        <w:shd w:val="clear" w:color="auto" w:fill="DEDEDE"/>
                        <w:vAlign w:val="center"/>
                        <w:hideMark/>
                      </w:tcPr>
                      <w:p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Nemok.</w:t>
                        </w:r>
                      </w:p>
                    </w:tc>
                    <w:tc>
                      <w:tcPr>
                        <w:tcW w:w="445" w:type="pct"/>
                        <w:shd w:val="clear" w:color="auto" w:fill="DEDEDE"/>
                        <w:vAlign w:val="center"/>
                        <w:hideMark/>
                      </w:tcPr>
                      <w:p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 xml:space="preserve">80% </w:t>
                        </w:r>
                        <w:proofErr w:type="spellStart"/>
                        <w:r w:rsidRPr="00D76C44">
                          <w:rPr>
                            <w:rFonts w:ascii="Arial" w:eastAsia="Times New Roman" w:hAnsi="Arial" w:cs="Arial"/>
                            <w:color w:val="444444"/>
                            <w:sz w:val="18"/>
                            <w:szCs w:val="18"/>
                            <w:lang w:eastAsia="lt-LT"/>
                          </w:rPr>
                          <w:t>nuol</w:t>
                        </w:r>
                        <w:proofErr w:type="spellEnd"/>
                        <w:r w:rsidRPr="00D76C44">
                          <w:rPr>
                            <w:rFonts w:ascii="Arial" w:eastAsia="Times New Roman" w:hAnsi="Arial" w:cs="Arial"/>
                            <w:color w:val="444444"/>
                            <w:sz w:val="18"/>
                            <w:szCs w:val="18"/>
                            <w:lang w:eastAsia="lt-LT"/>
                          </w:rPr>
                          <w:t>.</w:t>
                        </w:r>
                      </w:p>
                    </w:tc>
                    <w:tc>
                      <w:tcPr>
                        <w:tcW w:w="327" w:type="pct"/>
                        <w:shd w:val="clear" w:color="auto" w:fill="DEDEDE"/>
                        <w:vAlign w:val="center"/>
                        <w:hideMark/>
                      </w:tcPr>
                      <w:p w:rsidR="009C7AB7" w:rsidRPr="00D76C44" w:rsidRDefault="009C7AB7" w:rsidP="006630D7">
                        <w:pPr>
                          <w:spacing w:after="0" w:line="240" w:lineRule="auto"/>
                          <w:jc w:val="center"/>
                          <w:rPr>
                            <w:rFonts w:ascii="Arial" w:eastAsia="Times New Roman" w:hAnsi="Arial" w:cs="Arial"/>
                            <w:color w:val="444444"/>
                            <w:sz w:val="18"/>
                            <w:szCs w:val="18"/>
                            <w:lang w:eastAsia="lt-LT"/>
                          </w:rPr>
                        </w:pPr>
                        <w:r w:rsidRPr="00D76C44">
                          <w:rPr>
                            <w:rFonts w:ascii="Arial" w:eastAsia="Times New Roman" w:hAnsi="Arial" w:cs="Arial"/>
                            <w:color w:val="444444"/>
                            <w:sz w:val="18"/>
                            <w:szCs w:val="18"/>
                            <w:lang w:eastAsia="lt-LT"/>
                          </w:rPr>
                          <w:t xml:space="preserve">50% </w:t>
                        </w:r>
                        <w:proofErr w:type="spellStart"/>
                        <w:r w:rsidRPr="00D76C44">
                          <w:rPr>
                            <w:rFonts w:ascii="Arial" w:eastAsia="Times New Roman" w:hAnsi="Arial" w:cs="Arial"/>
                            <w:color w:val="444444"/>
                            <w:sz w:val="18"/>
                            <w:szCs w:val="18"/>
                            <w:lang w:eastAsia="lt-LT"/>
                          </w:rPr>
                          <w:t>nuol</w:t>
                        </w:r>
                        <w:proofErr w:type="spellEnd"/>
                        <w:r w:rsidRPr="00D76C44">
                          <w:rPr>
                            <w:rFonts w:ascii="Arial" w:eastAsia="Times New Roman" w:hAnsi="Arial" w:cs="Arial"/>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1. A</w:t>
                        </w:r>
                        <w:r w:rsidRPr="00D76C44">
                          <w:rPr>
                            <w:rFonts w:ascii="Times New Roman" w:hAnsi="Times New Roman" w:cs="Times New Roman"/>
                            <w:color w:val="000000"/>
                            <w:sz w:val="18"/>
                            <w:szCs w:val="18"/>
                          </w:rPr>
                          <w:t>smenys, kuriems nustatytas neįgalumo lygis, arba asmenys, iki 2005 m. liepos 1 d. pripažinti vaikais invalidais, ir juos lydintys asmenys (vienam asmeniui – vienas lydintysis)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2. A</w:t>
                        </w:r>
                        <w:r w:rsidRPr="00D76C44">
                          <w:rPr>
                            <w:rFonts w:ascii="Times New Roman" w:hAnsi="Times New Roman" w:cs="Times New Roman"/>
                            <w:color w:val="000000"/>
                            <w:sz w:val="18"/>
                            <w:szCs w:val="18"/>
                          </w:rPr>
                          <w:t>smenys, kuriems nustatytas 0–25 procentų darbingumo lygis, asmenys, kuriems nustatytas didelių specialiųjų poreikių lygis, asmenys, iki 2005 m. birželio 30 d. pripažinti I grupės invalidais, ir juos lydintys asmenys (vienam asmeniui – vienas lydintysis)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ED73F2">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3. Į</w:t>
                        </w:r>
                        <w:r w:rsidRPr="00D76C44">
                          <w:rPr>
                            <w:rFonts w:ascii="Times New Roman" w:hAnsi="Times New Roman" w:cs="Times New Roman"/>
                            <w:color w:val="000000"/>
                            <w:sz w:val="18"/>
                            <w:szCs w:val="18"/>
                          </w:rPr>
                          <w:t xml:space="preserve"> Sveikatos apsaugos ministerijos nustatytą sąrašą įrašytomis ligomis sergantys asmenys, kuriems gydyti nuolat reikalinga hemodializė, ir juos lydintys asmenys (vienam asmeniui – vienas lydintysis)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 xml:space="preserve">4. </w:t>
                        </w:r>
                        <w:r w:rsidRPr="00D76C44">
                          <w:rPr>
                            <w:rFonts w:ascii="Times New Roman" w:hAnsi="Times New Roman" w:cs="Times New Roman"/>
                            <w:color w:val="000000"/>
                            <w:sz w:val="18"/>
                            <w:szCs w:val="18"/>
                          </w:rPr>
                          <w:t>Lietuvos Respublikos nepriklausomybės gynėjai, kuriems nustatytas 30–55 procentų darbingumo lygis arba kuriems nustatytas vidutinių specialiųjų poreikių lygis (iki 2005 m. birželio 30 d. pripažinti II ar III grupės invalidais) dėl 1991 m. sausio 11–13 d. ir po to vykdytos SSRS agresijos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hAnsi="Times New Roman" w:cs="Times New Roman"/>
                            <w:color w:val="000000"/>
                            <w:sz w:val="18"/>
                            <w:szCs w:val="18"/>
                          </w:rPr>
                          <w:t>5. 80 metų ir vyresni asmenys</w:t>
                        </w:r>
                      </w:p>
                    </w:tc>
                    <w:tc>
                      <w:tcPr>
                        <w:tcW w:w="368" w:type="pct"/>
                        <w:shd w:val="clear" w:color="auto" w:fill="DEDEDE"/>
                        <w:vAlign w:val="center"/>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p>
                    </w:tc>
                    <w:tc>
                      <w:tcPr>
                        <w:tcW w:w="445" w:type="pct"/>
                        <w:shd w:val="clear" w:color="auto" w:fill="DEDEDE"/>
                        <w:vAlign w:val="center"/>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p>
                    </w:tc>
                    <w:tc>
                      <w:tcPr>
                        <w:tcW w:w="327" w:type="pct"/>
                        <w:shd w:val="clear" w:color="auto" w:fill="DEDEDE"/>
                        <w:vAlign w:val="center"/>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6. Ž</w:t>
                        </w:r>
                        <w:r w:rsidRPr="00D76C44">
                          <w:rPr>
                            <w:rFonts w:ascii="Times New Roman" w:hAnsi="Times New Roman" w:cs="Times New Roman"/>
                            <w:color w:val="000000"/>
                            <w:sz w:val="18"/>
                            <w:szCs w:val="18"/>
                          </w:rPr>
                          <w:t>uvusių Lietuvos Respublikos nepriklausomybės gynėjų šeimos nariai, nukentėję nuo 1991 m. sausio 11–13 d. ir po to vykdytos SSRS agresijos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7. P</w:t>
                        </w:r>
                        <w:r w:rsidRPr="00D76C44">
                          <w:rPr>
                            <w:rFonts w:ascii="Times New Roman" w:hAnsi="Times New Roman" w:cs="Times New Roman"/>
                            <w:color w:val="000000"/>
                            <w:sz w:val="18"/>
                            <w:szCs w:val="18"/>
                          </w:rPr>
                          <w:t>asipriešinimo 1940–1990 metų okupacijoms dalyviai – kariai savanoriai, sukakę 70 metų ir vyresni</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8. N</w:t>
                        </w:r>
                        <w:r w:rsidRPr="00D76C44">
                          <w:rPr>
                            <w:rFonts w:ascii="Times New Roman" w:hAnsi="Times New Roman" w:cs="Times New Roman"/>
                            <w:color w:val="000000"/>
                            <w:sz w:val="18"/>
                            <w:szCs w:val="18"/>
                          </w:rPr>
                          <w:t>uo 1939–1990 metų okupacijų nukentėję asmenys – politiniai kaliniai ir tremtiniai, buvę getų, koncentracijos ar kitokio tipo prievartinių stovyklų kaliniai, sukakę 70 metų ir vyresni</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9. A</w:t>
                        </w:r>
                        <w:r w:rsidRPr="00D76C44">
                          <w:rPr>
                            <w:rFonts w:ascii="Times New Roman" w:hAnsi="Times New Roman" w:cs="Times New Roman"/>
                            <w:color w:val="000000"/>
                            <w:sz w:val="18"/>
                            <w:szCs w:val="18"/>
                          </w:rPr>
                          <w:t>smenys, kuriems nustatytas 30–55 procentų darbingumo lygis, arba asmenys, kuriems nustatytas vidutinių specialiųjų poreikių lygis (iki 2005 m. birželio 30 d. pripažinti II grupės invalidais)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10. P</w:t>
                        </w:r>
                        <w:r w:rsidRPr="00D76C44">
                          <w:rPr>
                            <w:rFonts w:ascii="Times New Roman" w:hAnsi="Times New Roman" w:cs="Times New Roman"/>
                            <w:color w:val="000000"/>
                            <w:sz w:val="18"/>
                            <w:szCs w:val="18"/>
                          </w:rPr>
                          <w:t>asipriešinimo 1940–1990 metų okupacijoms dalyviai – kariai savanoriai, jaunesni kaip 70 metų, ir laisvės kovų dalyviai</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11. N</w:t>
                        </w:r>
                        <w:r w:rsidRPr="00D76C44">
                          <w:rPr>
                            <w:rFonts w:ascii="Times New Roman" w:hAnsi="Times New Roman" w:cs="Times New Roman"/>
                            <w:color w:val="000000"/>
                            <w:sz w:val="18"/>
                            <w:szCs w:val="18"/>
                          </w:rPr>
                          <w:t>uo 1939–1990 metų okupacijų nukentėję asmenys – politiniai kaliniai ir tremtiniai, buvę getų, koncentracijos ar kitokio tipo prievartinių stovyklų kaliniai, jaunesni kaip 70 metų</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6630D7">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 xml:space="preserve">12. </w:t>
                        </w:r>
                        <w:r w:rsidRPr="00D76C44">
                          <w:rPr>
                            <w:rFonts w:ascii="Times New Roman" w:hAnsi="Times New Roman" w:cs="Times New Roman"/>
                            <w:color w:val="000000"/>
                            <w:sz w:val="18"/>
                            <w:szCs w:val="18"/>
                          </w:rPr>
                          <w:t>Lietuvos Respublikos nepriklausomybės gynėjai, nukentėję nuo 1991 m. sausio 11–13 d. ir po to vykdytos SSRS agresijos</w:t>
                        </w:r>
                      </w:p>
                    </w:tc>
                    <w:tc>
                      <w:tcPr>
                        <w:tcW w:w="368"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hideMark/>
                      </w:tcPr>
                      <w:p w:rsidR="009C7AB7" w:rsidRPr="00D76C44" w:rsidRDefault="009C7AB7" w:rsidP="006630D7">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tcPr>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13. A</w:t>
                        </w:r>
                        <w:r w:rsidRPr="00D76C44">
                          <w:rPr>
                            <w:rFonts w:ascii="Times New Roman" w:hAnsi="Times New Roman" w:cs="Times New Roman"/>
                            <w:color w:val="000000"/>
                            <w:sz w:val="18"/>
                            <w:szCs w:val="18"/>
                          </w:rPr>
                          <w:t>smenys nuo 70 iki 80 metų</w:t>
                        </w:r>
                      </w:p>
                    </w:tc>
                    <w:tc>
                      <w:tcPr>
                        <w:tcW w:w="368"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338"/>
                      <w:tblCellSpacing w:w="7" w:type="dxa"/>
                      <w:jc w:val="center"/>
                    </w:trPr>
                    <w:tc>
                      <w:tcPr>
                        <w:tcW w:w="3823" w:type="pct"/>
                        <w:shd w:val="clear" w:color="auto" w:fill="auto"/>
                        <w:tcMar>
                          <w:top w:w="54" w:type="dxa"/>
                          <w:left w:w="107" w:type="dxa"/>
                          <w:bottom w:w="54" w:type="dxa"/>
                          <w:right w:w="107" w:type="dxa"/>
                        </w:tcMar>
                        <w:vAlign w:val="center"/>
                      </w:tcPr>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hAnsi="Times New Roman" w:cs="Times New Roman"/>
                            <w:color w:val="000000"/>
                            <w:sz w:val="18"/>
                            <w:szCs w:val="18"/>
                          </w:rPr>
                          <w:t>14. Aukštųjų mokyklų studentai, studijuojantys pagal nuolatinę arba dieninę studijų formą, Lietuvos Respublikos, kitų Europos Sąjungos valstybių narių ir Europos ekonominės erdvės valstybių piliečiai bei jų šeimos nariai, studijuojantys Europos Sąjungos valstybių narių ar Europos ekonominės erdvės valstybių aukštosiose mokyklose pagal nuolatinę arba dieninę studijų formą, taip pat mokiniai, kurie mokosi pagal formaliojo profesinio mokymo programas grupinio mokymosi forma kasdieniu mokymo proceso organizavimo būdu, pavienio mokymosi forma savarankišku mokymo proceso organizavimo būdu</w:t>
                        </w:r>
                      </w:p>
                    </w:tc>
                    <w:tc>
                      <w:tcPr>
                        <w:tcW w:w="368"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tcPr>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hAnsi="Times New Roman" w:cs="Times New Roman"/>
                            <w:color w:val="000000"/>
                            <w:sz w:val="18"/>
                            <w:szCs w:val="18"/>
                          </w:rPr>
                          <w:t>15. Vežamiems vaikams nuo 7 iki 10 metų</w:t>
                        </w:r>
                      </w:p>
                    </w:tc>
                    <w:tc>
                      <w:tcPr>
                        <w:tcW w:w="368"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197"/>
                      <w:tblCellSpacing w:w="7" w:type="dxa"/>
                      <w:jc w:val="center"/>
                    </w:trPr>
                    <w:tc>
                      <w:tcPr>
                        <w:tcW w:w="3823" w:type="pct"/>
                        <w:shd w:val="clear" w:color="auto" w:fill="auto"/>
                        <w:tcMar>
                          <w:top w:w="54" w:type="dxa"/>
                          <w:left w:w="107" w:type="dxa"/>
                          <w:bottom w:w="54" w:type="dxa"/>
                          <w:right w:w="107" w:type="dxa"/>
                        </w:tcMar>
                        <w:vAlign w:val="center"/>
                      </w:tcPr>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hAnsi="Times New Roman" w:cs="Times New Roman"/>
                            <w:color w:val="000000"/>
                            <w:sz w:val="18"/>
                            <w:szCs w:val="18"/>
                          </w:rPr>
                          <w:t>16. Keleiviui, vežančiam vaiką (vaikus) iki 7 metų tolimojo reguliaraus susisi</w:t>
                        </w:r>
                        <w:bookmarkStart w:id="1" w:name="_GoBack"/>
                        <w:bookmarkEnd w:id="1"/>
                        <w:r w:rsidRPr="00D76C44">
                          <w:rPr>
                            <w:rFonts w:ascii="Times New Roman" w:hAnsi="Times New Roman" w:cs="Times New Roman"/>
                            <w:color w:val="000000"/>
                            <w:sz w:val="18"/>
                            <w:szCs w:val="18"/>
                          </w:rPr>
                          <w:t>ekimo autobusais, vietinio (miesto ir priemiestinio) reguliaraus susisiekimo autobusais</w:t>
                        </w:r>
                      </w:p>
                    </w:tc>
                    <w:tc>
                      <w:tcPr>
                        <w:tcW w:w="368"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r w:rsidR="009C7AB7" w:rsidRPr="00D76C44" w:rsidTr="00791523">
                    <w:trPr>
                      <w:trHeight w:val="3473"/>
                      <w:tblCellSpacing w:w="7" w:type="dxa"/>
                      <w:jc w:val="center"/>
                    </w:trPr>
                    <w:tc>
                      <w:tcPr>
                        <w:tcW w:w="3823" w:type="pct"/>
                        <w:shd w:val="clear" w:color="auto" w:fill="auto"/>
                        <w:tcMar>
                          <w:top w:w="54" w:type="dxa"/>
                          <w:left w:w="107" w:type="dxa"/>
                          <w:bottom w:w="54" w:type="dxa"/>
                          <w:right w:w="107" w:type="dxa"/>
                        </w:tcMar>
                        <w:vAlign w:val="center"/>
                        <w:hideMark/>
                      </w:tcPr>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17. Mokyklų, vykdančių specializuoto ugdymo krypties programas mokiniai, pateikę mokinio pažymėjimą.</w:t>
                        </w:r>
                      </w:p>
                      <w:p w:rsidR="009C7AB7" w:rsidRPr="00D76C44" w:rsidRDefault="009C7AB7" w:rsidP="00C11EF6">
                        <w:p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Šiuo metų šalyje veikia 15 mokyklų, vykdančių specializuoto ugdymo krypties Programas“</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dailės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Juozo Gruodžio konservatorija;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Juozo Naujalio muzikos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Kauno technologijos universiteto inžinerijos licėjus;</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Klaipėdos Eduardo Balsio menų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Klaipėdos Stasio Šimkaus konservatorija;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Nacionalinė Mikalojaus Konstantino Čiurlionio menų mokykla;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Panevėžio Vytauto Mikalausko menų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Panevėžio Raimundo Sargūno sporto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Šiaulių Sauliaus Sondeckio menų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Šiaulių sporto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Joachimo Lelevelio inžinerijos gimnazija;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 xml:space="preserve">Vilniaus Juozo </w:t>
                        </w:r>
                        <w:proofErr w:type="spellStart"/>
                        <w:r w:rsidRPr="00D76C44">
                          <w:rPr>
                            <w:rFonts w:ascii="Times New Roman" w:eastAsia="Times New Roman" w:hAnsi="Times New Roman" w:cs="Times New Roman"/>
                            <w:color w:val="444444"/>
                            <w:sz w:val="18"/>
                            <w:szCs w:val="18"/>
                            <w:lang w:eastAsia="lt-LT"/>
                          </w:rPr>
                          <w:t>Tallat</w:t>
                        </w:r>
                        <w:proofErr w:type="spellEnd"/>
                        <w:r w:rsidRPr="00D76C44">
                          <w:rPr>
                            <w:rFonts w:ascii="Times New Roman" w:eastAsia="Times New Roman" w:hAnsi="Times New Roman" w:cs="Times New Roman"/>
                            <w:color w:val="444444"/>
                            <w:sz w:val="18"/>
                            <w:szCs w:val="18"/>
                            <w:lang w:eastAsia="lt-LT"/>
                          </w:rPr>
                          <w:t>-Kelpšos konservatorija;</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Gedimino technikos universiteto inžinerijos licėjus;</w:t>
                        </w:r>
                      </w:p>
                      <w:p w:rsidR="009C7AB7" w:rsidRPr="00D76C44" w:rsidRDefault="009C7AB7" w:rsidP="00C11EF6">
                        <w:pPr>
                          <w:numPr>
                            <w:ilvl w:val="0"/>
                            <w:numId w:val="1"/>
                          </w:numPr>
                          <w:spacing w:after="0" w:line="240" w:lineRule="auto"/>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Vilniaus Ozo gimnazija.</w:t>
                        </w:r>
                      </w:p>
                    </w:tc>
                    <w:tc>
                      <w:tcPr>
                        <w:tcW w:w="368" w:type="pct"/>
                        <w:shd w:val="clear" w:color="auto" w:fill="DEDEDE"/>
                        <w:vAlign w:val="center"/>
                        <w:hideMark/>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445" w:type="pct"/>
                        <w:shd w:val="clear" w:color="auto" w:fill="DEDEDE"/>
                        <w:vAlign w:val="center"/>
                        <w:hideMark/>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w:t>
                        </w:r>
                      </w:p>
                    </w:tc>
                    <w:tc>
                      <w:tcPr>
                        <w:tcW w:w="327" w:type="pct"/>
                        <w:shd w:val="clear" w:color="auto" w:fill="DEDEDE"/>
                        <w:vAlign w:val="center"/>
                        <w:hideMark/>
                      </w:tcPr>
                      <w:p w:rsidR="009C7AB7" w:rsidRPr="00D76C44" w:rsidRDefault="009C7AB7" w:rsidP="00C11EF6">
                        <w:pPr>
                          <w:spacing w:after="0" w:line="240" w:lineRule="auto"/>
                          <w:jc w:val="center"/>
                          <w:rPr>
                            <w:rFonts w:ascii="Times New Roman" w:eastAsia="Times New Roman" w:hAnsi="Times New Roman" w:cs="Times New Roman"/>
                            <w:color w:val="444444"/>
                            <w:sz w:val="18"/>
                            <w:szCs w:val="18"/>
                            <w:lang w:eastAsia="lt-LT"/>
                          </w:rPr>
                        </w:pPr>
                        <w:r w:rsidRPr="00D76C44">
                          <w:rPr>
                            <w:rFonts w:ascii="Times New Roman" w:eastAsia="Times New Roman" w:hAnsi="Times New Roman" w:cs="Times New Roman"/>
                            <w:color w:val="444444"/>
                            <w:sz w:val="18"/>
                            <w:szCs w:val="18"/>
                            <w:lang w:eastAsia="lt-LT"/>
                          </w:rPr>
                          <w:t>taip</w:t>
                        </w:r>
                      </w:p>
                    </w:tc>
                  </w:tr>
                </w:tbl>
                <w:p w:rsidR="006630D7" w:rsidRPr="00D76C44" w:rsidRDefault="006630D7" w:rsidP="006630D7">
                  <w:pPr>
                    <w:spacing w:after="0" w:line="240" w:lineRule="auto"/>
                    <w:rPr>
                      <w:rFonts w:ascii="Times New Roman" w:eastAsia="Times New Roman" w:hAnsi="Times New Roman" w:cs="Times New Roman"/>
                      <w:sz w:val="18"/>
                      <w:szCs w:val="18"/>
                      <w:lang w:eastAsia="lt-LT"/>
                    </w:rPr>
                  </w:pPr>
                </w:p>
              </w:tc>
            </w:tr>
          </w:tbl>
          <w:p w:rsidR="006630D7" w:rsidRPr="00D76C44" w:rsidRDefault="006630D7" w:rsidP="006630D7">
            <w:pPr>
              <w:spacing w:after="0" w:line="240" w:lineRule="auto"/>
              <w:rPr>
                <w:rFonts w:ascii="Times New Roman" w:eastAsia="Times New Roman" w:hAnsi="Times New Roman" w:cs="Times New Roman"/>
                <w:sz w:val="18"/>
                <w:szCs w:val="18"/>
                <w:lang w:eastAsia="lt-LT"/>
              </w:rPr>
            </w:pPr>
          </w:p>
        </w:tc>
      </w:tr>
      <w:tr w:rsidR="00B3373E" w:rsidRPr="006630D7" w:rsidTr="009C3B52">
        <w:trPr>
          <w:trHeight w:val="169"/>
          <w:tblCellSpacing w:w="0" w:type="dxa"/>
        </w:trPr>
        <w:tc>
          <w:tcPr>
            <w:tcW w:w="0" w:type="auto"/>
          </w:tcPr>
          <w:p w:rsidR="00B3373E" w:rsidRPr="005B68E0" w:rsidRDefault="009C3B52" w:rsidP="009C3B52">
            <w:pPr>
              <w:tabs>
                <w:tab w:val="left" w:pos="6727"/>
              </w:tabs>
              <w:spacing w:after="0" w:line="240" w:lineRule="auto"/>
              <w:rPr>
                <w:rFonts w:ascii="Arial" w:eastAsia="Times New Roman" w:hAnsi="Arial" w:cs="Arial"/>
                <w:b/>
                <w:bCs/>
                <w:color w:val="444444"/>
                <w:sz w:val="16"/>
                <w:szCs w:val="16"/>
                <w:lang w:eastAsia="lt-LT"/>
              </w:rPr>
            </w:pPr>
            <w:r>
              <w:rPr>
                <w:rFonts w:ascii="Arial" w:eastAsia="Times New Roman" w:hAnsi="Arial" w:cs="Arial"/>
                <w:b/>
                <w:bCs/>
                <w:color w:val="444444"/>
                <w:sz w:val="16"/>
                <w:szCs w:val="16"/>
                <w:lang w:eastAsia="lt-LT"/>
              </w:rPr>
              <w:tab/>
            </w:r>
          </w:p>
        </w:tc>
      </w:tr>
      <w:bookmarkEnd w:id="0"/>
    </w:tbl>
    <w:p w:rsidR="009C3B52" w:rsidRDefault="009C3B52" w:rsidP="009C3B52"/>
    <w:sectPr w:rsidR="009C3B52" w:rsidSect="00D76C44">
      <w:pgSz w:w="11906" w:h="16838"/>
      <w:pgMar w:top="284" w:right="567" w:bottom="284"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508" w:rsidRDefault="00F00508" w:rsidP="00E64287">
      <w:pPr>
        <w:spacing w:after="0" w:line="240" w:lineRule="auto"/>
      </w:pPr>
      <w:r>
        <w:separator/>
      </w:r>
    </w:p>
  </w:endnote>
  <w:endnote w:type="continuationSeparator" w:id="0">
    <w:p w:rsidR="00F00508" w:rsidRDefault="00F00508" w:rsidP="00E6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508" w:rsidRDefault="00F00508" w:rsidP="00E64287">
      <w:pPr>
        <w:spacing w:after="0" w:line="240" w:lineRule="auto"/>
      </w:pPr>
      <w:r>
        <w:separator/>
      </w:r>
    </w:p>
  </w:footnote>
  <w:footnote w:type="continuationSeparator" w:id="0">
    <w:p w:rsidR="00F00508" w:rsidRDefault="00F00508" w:rsidP="00E6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F7B3E"/>
    <w:multiLevelType w:val="multilevel"/>
    <w:tmpl w:val="7AD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0D7"/>
    <w:rsid w:val="000031BB"/>
    <w:rsid w:val="00014EA0"/>
    <w:rsid w:val="0009328E"/>
    <w:rsid w:val="00113ED3"/>
    <w:rsid w:val="001268CA"/>
    <w:rsid w:val="001F38CD"/>
    <w:rsid w:val="002311B1"/>
    <w:rsid w:val="00300400"/>
    <w:rsid w:val="003F114E"/>
    <w:rsid w:val="004869FC"/>
    <w:rsid w:val="00491C82"/>
    <w:rsid w:val="004D0754"/>
    <w:rsid w:val="00560B9D"/>
    <w:rsid w:val="005950CF"/>
    <w:rsid w:val="005B68E0"/>
    <w:rsid w:val="006630D7"/>
    <w:rsid w:val="00696454"/>
    <w:rsid w:val="00696DF5"/>
    <w:rsid w:val="00725819"/>
    <w:rsid w:val="00762170"/>
    <w:rsid w:val="00786492"/>
    <w:rsid w:val="00791523"/>
    <w:rsid w:val="00823F56"/>
    <w:rsid w:val="008536B6"/>
    <w:rsid w:val="008610A7"/>
    <w:rsid w:val="008D09AF"/>
    <w:rsid w:val="008F5992"/>
    <w:rsid w:val="00992128"/>
    <w:rsid w:val="009C3B52"/>
    <w:rsid w:val="009C7AB7"/>
    <w:rsid w:val="009F1F94"/>
    <w:rsid w:val="00A0640E"/>
    <w:rsid w:val="00A257AE"/>
    <w:rsid w:val="00A331D6"/>
    <w:rsid w:val="00A47356"/>
    <w:rsid w:val="00B3373E"/>
    <w:rsid w:val="00B777C3"/>
    <w:rsid w:val="00BB49D7"/>
    <w:rsid w:val="00C11EF6"/>
    <w:rsid w:val="00C5021E"/>
    <w:rsid w:val="00C5760F"/>
    <w:rsid w:val="00C74628"/>
    <w:rsid w:val="00C9465A"/>
    <w:rsid w:val="00CA76D0"/>
    <w:rsid w:val="00CE1F91"/>
    <w:rsid w:val="00D75420"/>
    <w:rsid w:val="00D76C44"/>
    <w:rsid w:val="00D947E2"/>
    <w:rsid w:val="00DA6886"/>
    <w:rsid w:val="00DB6C21"/>
    <w:rsid w:val="00E45FD0"/>
    <w:rsid w:val="00E64287"/>
    <w:rsid w:val="00E8791F"/>
    <w:rsid w:val="00ED73F2"/>
    <w:rsid w:val="00F00508"/>
    <w:rsid w:val="00F57533"/>
    <w:rsid w:val="00FB6468"/>
    <w:rsid w:val="00FE3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4FF2-352A-4020-9F6F-CD98081B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6C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7533"/>
    <w:pPr>
      <w:ind w:left="720"/>
      <w:contextualSpacing/>
    </w:pPr>
  </w:style>
  <w:style w:type="paragraph" w:styleId="Antrats">
    <w:name w:val="header"/>
    <w:basedOn w:val="prastasis"/>
    <w:link w:val="AntratsDiagrama"/>
    <w:uiPriority w:val="99"/>
    <w:unhideWhenUsed/>
    <w:rsid w:val="00E642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4287"/>
  </w:style>
  <w:style w:type="paragraph" w:styleId="Porat">
    <w:name w:val="footer"/>
    <w:basedOn w:val="prastasis"/>
    <w:link w:val="PoratDiagrama"/>
    <w:uiPriority w:val="99"/>
    <w:unhideWhenUsed/>
    <w:rsid w:val="00E642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4287"/>
  </w:style>
  <w:style w:type="paragraph" w:styleId="Debesliotekstas">
    <w:name w:val="Balloon Text"/>
    <w:basedOn w:val="prastasis"/>
    <w:link w:val="DebesliotekstasDiagrama"/>
    <w:uiPriority w:val="99"/>
    <w:semiHidden/>
    <w:unhideWhenUsed/>
    <w:rsid w:val="00ED73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111">
      <w:bodyDiv w:val="1"/>
      <w:marLeft w:val="0"/>
      <w:marRight w:val="0"/>
      <w:marTop w:val="0"/>
      <w:marBottom w:val="0"/>
      <w:divBdr>
        <w:top w:val="none" w:sz="0" w:space="0" w:color="auto"/>
        <w:left w:val="none" w:sz="0" w:space="0" w:color="auto"/>
        <w:bottom w:val="none" w:sz="0" w:space="0" w:color="auto"/>
        <w:right w:val="none" w:sz="0" w:space="0" w:color="auto"/>
      </w:divBdr>
    </w:div>
    <w:div w:id="10244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0A63-8C81-4773-8E00-FAF5A11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2510</Words>
  <Characters>1431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cp:lastPrinted>2020-02-20T14:04:00Z</cp:lastPrinted>
  <dcterms:created xsi:type="dcterms:W3CDTF">2015-09-23T12:01:00Z</dcterms:created>
  <dcterms:modified xsi:type="dcterms:W3CDTF">2020-02-26T07:27:00Z</dcterms:modified>
</cp:coreProperties>
</file>