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0" w:type="pct"/>
        <w:tblCellSpacing w:w="0" w:type="dxa"/>
        <w:tblCellMar>
          <w:left w:w="0" w:type="dxa"/>
          <w:right w:w="0" w:type="dxa"/>
        </w:tblCellMar>
        <w:tblLook w:val="04A0" w:firstRow="1" w:lastRow="0" w:firstColumn="1" w:lastColumn="0" w:noHBand="0" w:noVBand="1"/>
      </w:tblPr>
      <w:tblGrid>
        <w:gridCol w:w="11009"/>
      </w:tblGrid>
      <w:tr w:rsidR="006630D7" w:rsidRPr="006630D7" w14:paraId="56F816B1" w14:textId="77777777" w:rsidTr="008B602A">
        <w:trPr>
          <w:trHeight w:val="722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009"/>
            </w:tblGrid>
            <w:tr w:rsidR="006630D7" w:rsidRPr="00D76C44" w14:paraId="2C83E804" w14:textId="77777777" w:rsidTr="008B602A">
              <w:trPr>
                <w:trHeight w:val="5812"/>
                <w:tblCellSpacing w:w="0" w:type="dxa"/>
              </w:trPr>
              <w:tc>
                <w:tcPr>
                  <w:tcW w:w="5000" w:type="pct"/>
                  <w:vAlign w:val="center"/>
                  <w:hideMark/>
                </w:tcPr>
                <w:tbl>
                  <w:tblPr>
                    <w:tblW w:w="10159" w:type="dxa"/>
                    <w:jc w:val="center"/>
                    <w:tblCellSpacing w:w="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4"/>
                    <w:gridCol w:w="655"/>
                    <w:gridCol w:w="874"/>
                    <w:gridCol w:w="1126"/>
                  </w:tblGrid>
                  <w:tr w:rsidR="009C7AB7" w:rsidRPr="00D76C44" w14:paraId="6E9B4AEF" w14:textId="77777777" w:rsidTr="00A4706A">
                    <w:trPr>
                      <w:trHeight w:val="495"/>
                      <w:tblCellSpacing w:w="7" w:type="dxa"/>
                      <w:jc w:val="center"/>
                    </w:trPr>
                    <w:tc>
                      <w:tcPr>
                        <w:tcW w:w="3695" w:type="pct"/>
                        <w:vMerge w:val="restart"/>
                        <w:shd w:val="clear" w:color="auto" w:fill="EFEFEF"/>
                        <w:vAlign w:val="center"/>
                        <w:hideMark/>
                      </w:tcPr>
                      <w:p w14:paraId="74F21E75" w14:textId="77777777" w:rsidR="009C7AB7" w:rsidRPr="00D76C44" w:rsidRDefault="009C7AB7" w:rsidP="006630D7">
                        <w:pPr>
                          <w:spacing w:after="0" w:line="240" w:lineRule="auto"/>
                          <w:jc w:val="center"/>
                          <w:rPr>
                            <w:rFonts w:ascii="Arial" w:eastAsia="Times New Roman" w:hAnsi="Arial" w:cs="Arial"/>
                            <w:b/>
                            <w:bCs/>
                            <w:color w:val="444444"/>
                            <w:sz w:val="18"/>
                            <w:szCs w:val="18"/>
                            <w:lang w:eastAsia="lt-LT"/>
                          </w:rPr>
                        </w:pPr>
                        <w:bookmarkStart w:id="0" w:name="top"/>
                        <w:r w:rsidRPr="00D76C44">
                          <w:rPr>
                            <w:rFonts w:ascii="Arial" w:eastAsia="Times New Roman" w:hAnsi="Arial" w:cs="Arial"/>
                            <w:b/>
                            <w:bCs/>
                            <w:color w:val="444444"/>
                            <w:sz w:val="18"/>
                            <w:szCs w:val="18"/>
                            <w:lang w:eastAsia="lt-LT"/>
                          </w:rPr>
                          <w:t>Keleivių kategorija</w:t>
                        </w:r>
                      </w:p>
                    </w:tc>
                    <w:tc>
                      <w:tcPr>
                        <w:tcW w:w="1285" w:type="pct"/>
                        <w:gridSpan w:val="3"/>
                        <w:shd w:val="clear" w:color="auto" w:fill="EFEFEF"/>
                        <w:vAlign w:val="center"/>
                        <w:hideMark/>
                      </w:tcPr>
                      <w:p w14:paraId="07875A2E" w14:textId="77777777" w:rsidR="009C7AB7" w:rsidRPr="00D76C44" w:rsidRDefault="009C7AB7" w:rsidP="006630D7">
                        <w:pPr>
                          <w:spacing w:after="0" w:line="240" w:lineRule="auto"/>
                          <w:jc w:val="center"/>
                          <w:rPr>
                            <w:rFonts w:ascii="Arial" w:eastAsia="Times New Roman" w:hAnsi="Arial" w:cs="Arial"/>
                            <w:b/>
                            <w:bCs/>
                            <w:color w:val="444444"/>
                            <w:sz w:val="18"/>
                            <w:szCs w:val="18"/>
                            <w:lang w:eastAsia="lt-LT"/>
                          </w:rPr>
                        </w:pPr>
                        <w:r w:rsidRPr="00D76C44">
                          <w:rPr>
                            <w:rFonts w:ascii="Arial" w:eastAsia="Times New Roman" w:hAnsi="Arial" w:cs="Arial"/>
                            <w:b/>
                            <w:bCs/>
                            <w:color w:val="444444"/>
                            <w:sz w:val="18"/>
                            <w:szCs w:val="18"/>
                            <w:lang w:eastAsia="lt-LT"/>
                          </w:rPr>
                          <w:t>Vietinio susisiekimo (priemiestiniais) autobusais</w:t>
                        </w:r>
                      </w:p>
                    </w:tc>
                  </w:tr>
                  <w:tr w:rsidR="009C7AB7" w:rsidRPr="00D76C44" w14:paraId="3E3F4040" w14:textId="77777777" w:rsidTr="00A4706A">
                    <w:trPr>
                      <w:trHeight w:val="243"/>
                      <w:tblCellSpacing w:w="7" w:type="dxa"/>
                      <w:jc w:val="center"/>
                    </w:trPr>
                    <w:tc>
                      <w:tcPr>
                        <w:tcW w:w="3695" w:type="pct"/>
                        <w:vMerge/>
                        <w:vAlign w:val="center"/>
                        <w:hideMark/>
                      </w:tcPr>
                      <w:p w14:paraId="5696A3D1" w14:textId="77777777" w:rsidR="009C7AB7" w:rsidRPr="00D76C44" w:rsidRDefault="009C7AB7" w:rsidP="006630D7">
                        <w:pPr>
                          <w:spacing w:after="0" w:line="240" w:lineRule="auto"/>
                          <w:rPr>
                            <w:rFonts w:ascii="Arial" w:eastAsia="Times New Roman" w:hAnsi="Arial" w:cs="Arial"/>
                            <w:b/>
                            <w:bCs/>
                            <w:color w:val="444444"/>
                            <w:sz w:val="18"/>
                            <w:szCs w:val="18"/>
                            <w:lang w:eastAsia="lt-LT"/>
                          </w:rPr>
                        </w:pPr>
                      </w:p>
                    </w:tc>
                    <w:tc>
                      <w:tcPr>
                        <w:tcW w:w="315" w:type="pct"/>
                        <w:shd w:val="clear" w:color="auto" w:fill="DEDEDE"/>
                        <w:vAlign w:val="center"/>
                        <w:hideMark/>
                      </w:tcPr>
                      <w:p w14:paraId="6C175F77" w14:textId="77777777" w:rsidR="009C7AB7" w:rsidRPr="00D76C44" w:rsidRDefault="009C7AB7" w:rsidP="006630D7">
                        <w:pPr>
                          <w:spacing w:after="0" w:line="240" w:lineRule="auto"/>
                          <w:jc w:val="center"/>
                          <w:rPr>
                            <w:rFonts w:ascii="Arial" w:eastAsia="Times New Roman" w:hAnsi="Arial" w:cs="Arial"/>
                            <w:color w:val="444444"/>
                            <w:sz w:val="18"/>
                            <w:szCs w:val="18"/>
                            <w:lang w:eastAsia="lt-LT"/>
                          </w:rPr>
                        </w:pPr>
                        <w:r w:rsidRPr="00D76C44">
                          <w:rPr>
                            <w:rFonts w:ascii="Arial" w:eastAsia="Times New Roman" w:hAnsi="Arial" w:cs="Arial"/>
                            <w:color w:val="444444"/>
                            <w:sz w:val="18"/>
                            <w:szCs w:val="18"/>
                            <w:lang w:eastAsia="lt-LT"/>
                          </w:rPr>
                          <w:t>Nemok.</w:t>
                        </w:r>
                      </w:p>
                    </w:tc>
                    <w:tc>
                      <w:tcPr>
                        <w:tcW w:w="423" w:type="pct"/>
                        <w:shd w:val="clear" w:color="auto" w:fill="DEDEDE"/>
                        <w:vAlign w:val="center"/>
                        <w:hideMark/>
                      </w:tcPr>
                      <w:p w14:paraId="57B65090" w14:textId="77777777" w:rsidR="009C7AB7" w:rsidRPr="00D76C44" w:rsidRDefault="009C7AB7" w:rsidP="006630D7">
                        <w:pPr>
                          <w:spacing w:after="0" w:line="240" w:lineRule="auto"/>
                          <w:jc w:val="center"/>
                          <w:rPr>
                            <w:rFonts w:ascii="Arial" w:eastAsia="Times New Roman" w:hAnsi="Arial" w:cs="Arial"/>
                            <w:color w:val="444444"/>
                            <w:sz w:val="18"/>
                            <w:szCs w:val="18"/>
                            <w:lang w:eastAsia="lt-LT"/>
                          </w:rPr>
                        </w:pPr>
                        <w:r w:rsidRPr="00D76C44">
                          <w:rPr>
                            <w:rFonts w:ascii="Arial" w:eastAsia="Times New Roman" w:hAnsi="Arial" w:cs="Arial"/>
                            <w:color w:val="444444"/>
                            <w:sz w:val="18"/>
                            <w:szCs w:val="18"/>
                            <w:lang w:eastAsia="lt-LT"/>
                          </w:rPr>
                          <w:t>80% nuol.</w:t>
                        </w:r>
                      </w:p>
                    </w:tc>
                    <w:tc>
                      <w:tcPr>
                        <w:tcW w:w="532" w:type="pct"/>
                        <w:shd w:val="clear" w:color="auto" w:fill="DEDEDE"/>
                        <w:vAlign w:val="center"/>
                        <w:hideMark/>
                      </w:tcPr>
                      <w:p w14:paraId="083D99BB" w14:textId="77777777" w:rsidR="009C7AB7" w:rsidRPr="00D76C44" w:rsidRDefault="009C7AB7" w:rsidP="006630D7">
                        <w:pPr>
                          <w:spacing w:after="0" w:line="240" w:lineRule="auto"/>
                          <w:jc w:val="center"/>
                          <w:rPr>
                            <w:rFonts w:ascii="Arial" w:eastAsia="Times New Roman" w:hAnsi="Arial" w:cs="Arial"/>
                            <w:color w:val="444444"/>
                            <w:sz w:val="18"/>
                            <w:szCs w:val="18"/>
                            <w:lang w:eastAsia="lt-LT"/>
                          </w:rPr>
                        </w:pPr>
                        <w:r w:rsidRPr="00D76C44">
                          <w:rPr>
                            <w:rFonts w:ascii="Arial" w:eastAsia="Times New Roman" w:hAnsi="Arial" w:cs="Arial"/>
                            <w:color w:val="444444"/>
                            <w:sz w:val="18"/>
                            <w:szCs w:val="18"/>
                            <w:lang w:eastAsia="lt-LT"/>
                          </w:rPr>
                          <w:t>50% nuol.</w:t>
                        </w:r>
                      </w:p>
                    </w:tc>
                  </w:tr>
                  <w:tr w:rsidR="009C7AB7" w:rsidRPr="00D76C44" w14:paraId="7C6B42E4"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1B909C43" w14:textId="0591C8B2"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1. A</w:t>
                        </w:r>
                        <w:r w:rsidRPr="00A31C37">
                          <w:rPr>
                            <w:rFonts w:ascii="Times New Roman" w:hAnsi="Times New Roman" w:cs="Times New Roman"/>
                            <w:sz w:val="18"/>
                            <w:szCs w:val="18"/>
                          </w:rPr>
                          <w:t>smenys, kuriems nustatytas neįgalumo lygis, arba asmenys, iki 2005 m. liepos 1 d. pripažinti vaikais invalidais, ir juos lydintys asmenys (vienam asmeniui – vienas lydintysis)</w:t>
                        </w:r>
                        <w:r w:rsidR="008A0E29" w:rsidRPr="00A31C37">
                          <w:rPr>
                            <w:rFonts w:ascii="Times New Roman" w:hAnsi="Times New Roman" w:cs="Times New Roman"/>
                            <w:sz w:val="18"/>
                            <w:szCs w:val="18"/>
                          </w:rPr>
                          <w:t>.</w:t>
                        </w:r>
                      </w:p>
                    </w:tc>
                    <w:tc>
                      <w:tcPr>
                        <w:tcW w:w="315" w:type="pct"/>
                        <w:shd w:val="clear" w:color="auto" w:fill="DEDEDE"/>
                        <w:vAlign w:val="center"/>
                        <w:hideMark/>
                      </w:tcPr>
                      <w:p w14:paraId="15C774FC"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1FDF9555"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532" w:type="pct"/>
                        <w:shd w:val="clear" w:color="auto" w:fill="DEDEDE"/>
                        <w:vAlign w:val="center"/>
                        <w:hideMark/>
                      </w:tcPr>
                      <w:p w14:paraId="5F7090AE"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14:paraId="287768D2"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39F2234F" w14:textId="073E8C1C"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2. A</w:t>
                        </w:r>
                        <w:r w:rsidRPr="00A31C37">
                          <w:rPr>
                            <w:rFonts w:ascii="Times New Roman" w:hAnsi="Times New Roman" w:cs="Times New Roman"/>
                            <w:sz w:val="18"/>
                            <w:szCs w:val="18"/>
                          </w:rPr>
                          <w:t>smenys, kuriems nustatytas 0–25 procentų darbingumo lygis, asmenys, kuriems nustatytas didelių specialiųjų poreikių lygis, asmenys, iki 2005 m. birželio 30 d. pripažinti I grupės invalidais, ir juos lydintys asmenys (vienam asmeniui – vienas lydintysis)</w:t>
                        </w:r>
                        <w:r w:rsidR="008A0E29" w:rsidRPr="00A31C37">
                          <w:rPr>
                            <w:rFonts w:ascii="Times New Roman" w:hAnsi="Times New Roman" w:cs="Times New Roman"/>
                            <w:sz w:val="18"/>
                            <w:szCs w:val="18"/>
                          </w:rPr>
                          <w:t>.</w:t>
                        </w:r>
                      </w:p>
                    </w:tc>
                    <w:tc>
                      <w:tcPr>
                        <w:tcW w:w="315" w:type="pct"/>
                        <w:shd w:val="clear" w:color="auto" w:fill="DEDEDE"/>
                        <w:vAlign w:val="center"/>
                        <w:hideMark/>
                      </w:tcPr>
                      <w:p w14:paraId="1941588E"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7AEF04AB"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532" w:type="pct"/>
                        <w:shd w:val="clear" w:color="auto" w:fill="DEDEDE"/>
                        <w:vAlign w:val="center"/>
                        <w:hideMark/>
                      </w:tcPr>
                      <w:p w14:paraId="3E930018"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14:paraId="74560D8D"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07FCFA70" w14:textId="0E7A5C95" w:rsidR="009C7AB7" w:rsidRPr="00A31C37" w:rsidRDefault="00AA3EA0"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3. Asmenys, kuriems gydyti nuolat reikalinga hemodializė, ir juos lydintys asmenys (vienam asmeniui – vienas lydintysis), taip pat onkologinėmis ligomis sergantys asmenys</w:t>
                        </w:r>
                        <w:r w:rsidR="008A0E29" w:rsidRPr="00A31C37">
                          <w:rPr>
                            <w:rFonts w:ascii="Times New Roman" w:eastAsia="Times New Roman" w:hAnsi="Times New Roman" w:cs="Times New Roman"/>
                            <w:sz w:val="18"/>
                            <w:szCs w:val="18"/>
                            <w:lang w:eastAsia="lt-LT"/>
                          </w:rPr>
                          <w:t>.</w:t>
                        </w:r>
                      </w:p>
                    </w:tc>
                    <w:tc>
                      <w:tcPr>
                        <w:tcW w:w="315" w:type="pct"/>
                        <w:shd w:val="clear" w:color="auto" w:fill="DEDEDE"/>
                        <w:vAlign w:val="center"/>
                        <w:hideMark/>
                      </w:tcPr>
                      <w:p w14:paraId="0F204C5E"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651E7608"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532" w:type="pct"/>
                        <w:shd w:val="clear" w:color="auto" w:fill="DEDEDE"/>
                        <w:vAlign w:val="center"/>
                        <w:hideMark/>
                      </w:tcPr>
                      <w:p w14:paraId="5CA30079"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14:paraId="308021F8"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2452D422" w14:textId="14369EE4"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 xml:space="preserve">4. </w:t>
                        </w:r>
                        <w:r w:rsidRPr="00A31C37">
                          <w:rPr>
                            <w:rFonts w:ascii="Times New Roman" w:hAnsi="Times New Roman" w:cs="Times New Roman"/>
                            <w:sz w:val="18"/>
                            <w:szCs w:val="18"/>
                          </w:rPr>
                          <w:t>Lietuvos Respublikos nepriklausomybės gynėjai, kuriems nustatytas 30–55 procentų darbingumo lygis arba kuriems nustatytas vidutinių specialiųjų poreikių lygis (iki 2005 m. birželio 30 d. pripažinti II ar III grupės invalidais) dėl 1991 m. sausio 11–13 d. ir po to vykdytos SSRS agresijos</w:t>
                        </w:r>
                        <w:r w:rsidR="008A0E29" w:rsidRPr="00A31C37">
                          <w:rPr>
                            <w:rFonts w:ascii="Times New Roman" w:hAnsi="Times New Roman" w:cs="Times New Roman"/>
                            <w:sz w:val="18"/>
                            <w:szCs w:val="18"/>
                          </w:rPr>
                          <w:t>.</w:t>
                        </w:r>
                      </w:p>
                    </w:tc>
                    <w:tc>
                      <w:tcPr>
                        <w:tcW w:w="315" w:type="pct"/>
                        <w:shd w:val="clear" w:color="auto" w:fill="DEDEDE"/>
                        <w:vAlign w:val="center"/>
                        <w:hideMark/>
                      </w:tcPr>
                      <w:p w14:paraId="18A0E436"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6F5FA682"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532" w:type="pct"/>
                        <w:shd w:val="clear" w:color="auto" w:fill="DEDEDE"/>
                        <w:vAlign w:val="center"/>
                        <w:hideMark/>
                      </w:tcPr>
                      <w:p w14:paraId="4383C096"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14:paraId="3256C4BF"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tcPr>
                      <w:p w14:paraId="3EA3FB04" w14:textId="119174B3"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hAnsi="Times New Roman" w:cs="Times New Roman"/>
                            <w:sz w:val="18"/>
                            <w:szCs w:val="18"/>
                          </w:rPr>
                          <w:t>5. 80 metų ir vyresni asmenys</w:t>
                        </w:r>
                        <w:r w:rsidR="008A0E29" w:rsidRPr="00A31C37">
                          <w:rPr>
                            <w:rFonts w:ascii="Times New Roman" w:hAnsi="Times New Roman" w:cs="Times New Roman"/>
                            <w:sz w:val="18"/>
                            <w:szCs w:val="18"/>
                          </w:rPr>
                          <w:t>.</w:t>
                        </w:r>
                      </w:p>
                    </w:tc>
                    <w:tc>
                      <w:tcPr>
                        <w:tcW w:w="315" w:type="pct"/>
                        <w:shd w:val="clear" w:color="auto" w:fill="DEDEDE"/>
                        <w:vAlign w:val="center"/>
                      </w:tcPr>
                      <w:p w14:paraId="33E18CB7" w14:textId="3157A3F9" w:rsidR="009C7AB7" w:rsidRPr="00D76C44" w:rsidRDefault="002A5CA3" w:rsidP="006630D7">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w:t>
                        </w:r>
                      </w:p>
                    </w:tc>
                    <w:tc>
                      <w:tcPr>
                        <w:tcW w:w="423" w:type="pct"/>
                        <w:shd w:val="clear" w:color="auto" w:fill="DEDEDE"/>
                        <w:vAlign w:val="center"/>
                      </w:tcPr>
                      <w:p w14:paraId="6EE00E29" w14:textId="47EEDB16" w:rsidR="009C7AB7" w:rsidRPr="00D76C44" w:rsidRDefault="002A5CA3" w:rsidP="006630D7">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taip</w:t>
                        </w:r>
                      </w:p>
                    </w:tc>
                    <w:tc>
                      <w:tcPr>
                        <w:tcW w:w="532" w:type="pct"/>
                        <w:shd w:val="clear" w:color="auto" w:fill="DEDEDE"/>
                        <w:vAlign w:val="center"/>
                      </w:tcPr>
                      <w:p w14:paraId="248C3840" w14:textId="0A3A5E27" w:rsidR="009C7AB7" w:rsidRPr="00D76C44" w:rsidRDefault="002A5CA3" w:rsidP="006630D7">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w:t>
                        </w:r>
                      </w:p>
                    </w:tc>
                  </w:tr>
                  <w:tr w:rsidR="009C7AB7" w:rsidRPr="00D76C44" w14:paraId="50DD9A77"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45C69087" w14:textId="3088F7A6"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6. Ž</w:t>
                        </w:r>
                        <w:r w:rsidRPr="00A31C37">
                          <w:rPr>
                            <w:rFonts w:ascii="Times New Roman" w:hAnsi="Times New Roman" w:cs="Times New Roman"/>
                            <w:sz w:val="18"/>
                            <w:szCs w:val="18"/>
                          </w:rPr>
                          <w:t>uvusių Lietuvos Respublikos nepriklausomybės gynėjų šeimos nariai, nukentėję nuo 1991 m. sausio 11–13 d. ir po to vykdytos SSRS agresijos</w:t>
                        </w:r>
                        <w:r w:rsidR="008A0E29" w:rsidRPr="00A31C37">
                          <w:rPr>
                            <w:rFonts w:ascii="Times New Roman" w:hAnsi="Times New Roman" w:cs="Times New Roman"/>
                            <w:sz w:val="18"/>
                            <w:szCs w:val="18"/>
                          </w:rPr>
                          <w:t>.</w:t>
                        </w:r>
                      </w:p>
                    </w:tc>
                    <w:tc>
                      <w:tcPr>
                        <w:tcW w:w="315" w:type="pct"/>
                        <w:shd w:val="clear" w:color="auto" w:fill="DEDEDE"/>
                        <w:vAlign w:val="center"/>
                        <w:hideMark/>
                      </w:tcPr>
                      <w:p w14:paraId="6DA36D46"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31A3F54A"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532" w:type="pct"/>
                        <w:shd w:val="clear" w:color="auto" w:fill="DEDEDE"/>
                        <w:vAlign w:val="center"/>
                        <w:hideMark/>
                      </w:tcPr>
                      <w:p w14:paraId="7A05F038"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14:paraId="5B8DB5F6"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607BA676" w14:textId="2B532A42"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7. P</w:t>
                        </w:r>
                        <w:r w:rsidRPr="00A31C37">
                          <w:rPr>
                            <w:rFonts w:ascii="Times New Roman" w:hAnsi="Times New Roman" w:cs="Times New Roman"/>
                            <w:sz w:val="18"/>
                            <w:szCs w:val="18"/>
                          </w:rPr>
                          <w:t>asipriešinimo 1940–1990 metų okupacijoms dalyviai – kariai savanoriai, sukakę 70 metų ir vyresni</w:t>
                        </w:r>
                        <w:r w:rsidR="008A0E29" w:rsidRPr="00A31C37">
                          <w:rPr>
                            <w:rFonts w:ascii="Times New Roman" w:hAnsi="Times New Roman" w:cs="Times New Roman"/>
                            <w:sz w:val="18"/>
                            <w:szCs w:val="18"/>
                          </w:rPr>
                          <w:t>.</w:t>
                        </w:r>
                      </w:p>
                    </w:tc>
                    <w:tc>
                      <w:tcPr>
                        <w:tcW w:w="315" w:type="pct"/>
                        <w:shd w:val="clear" w:color="auto" w:fill="DEDEDE"/>
                        <w:vAlign w:val="center"/>
                        <w:hideMark/>
                      </w:tcPr>
                      <w:p w14:paraId="02ADF7E7"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670C1622"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532" w:type="pct"/>
                        <w:shd w:val="clear" w:color="auto" w:fill="DEDEDE"/>
                        <w:vAlign w:val="center"/>
                        <w:hideMark/>
                      </w:tcPr>
                      <w:p w14:paraId="55B9FF8D"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14:paraId="55DB48D7"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668A943A" w14:textId="2DC62691"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8. N</w:t>
                        </w:r>
                        <w:r w:rsidRPr="00A31C37">
                          <w:rPr>
                            <w:rFonts w:ascii="Times New Roman" w:hAnsi="Times New Roman" w:cs="Times New Roman"/>
                            <w:sz w:val="18"/>
                            <w:szCs w:val="18"/>
                          </w:rPr>
                          <w:t>uo 1939–1990 metų okupacijų nukentėję asmenys – politiniai kaliniai ir tremtiniai, buvę getų, koncentracijos ar kitokio tipo prievartinių stovyklų kaliniai, sukakę 70 metų ir vyresni</w:t>
                        </w:r>
                        <w:r w:rsidR="008A0E29" w:rsidRPr="00A31C37">
                          <w:rPr>
                            <w:rFonts w:ascii="Times New Roman" w:hAnsi="Times New Roman" w:cs="Times New Roman"/>
                            <w:sz w:val="18"/>
                            <w:szCs w:val="18"/>
                          </w:rPr>
                          <w:t>.</w:t>
                        </w:r>
                      </w:p>
                    </w:tc>
                    <w:tc>
                      <w:tcPr>
                        <w:tcW w:w="315" w:type="pct"/>
                        <w:shd w:val="clear" w:color="auto" w:fill="DEDEDE"/>
                        <w:vAlign w:val="center"/>
                        <w:hideMark/>
                      </w:tcPr>
                      <w:p w14:paraId="6D656A8E"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66B5C298"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532" w:type="pct"/>
                        <w:shd w:val="clear" w:color="auto" w:fill="DEDEDE"/>
                        <w:vAlign w:val="center"/>
                        <w:hideMark/>
                      </w:tcPr>
                      <w:p w14:paraId="65F7288B"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14:paraId="7452F883"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588652F8" w14:textId="25C25567"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9. A</w:t>
                        </w:r>
                        <w:r w:rsidRPr="00A31C37">
                          <w:rPr>
                            <w:rFonts w:ascii="Times New Roman" w:hAnsi="Times New Roman" w:cs="Times New Roman"/>
                            <w:sz w:val="18"/>
                            <w:szCs w:val="18"/>
                          </w:rPr>
                          <w:t>smenys, kuriems nustatytas 30–55 procentų darbingumo lygis, arba asmenys, kuriems nustatytas vidutinių specialiųjų poreikių lygis (iki 2005 m. birželio 30 d. pripažinti II grupės invalidais)</w:t>
                        </w:r>
                        <w:r w:rsidR="008A0E29" w:rsidRPr="00A31C37">
                          <w:rPr>
                            <w:rFonts w:ascii="Times New Roman" w:hAnsi="Times New Roman" w:cs="Times New Roman"/>
                            <w:sz w:val="18"/>
                            <w:szCs w:val="18"/>
                          </w:rPr>
                          <w:t>.</w:t>
                        </w:r>
                      </w:p>
                    </w:tc>
                    <w:tc>
                      <w:tcPr>
                        <w:tcW w:w="315" w:type="pct"/>
                        <w:shd w:val="clear" w:color="auto" w:fill="DEDEDE"/>
                        <w:vAlign w:val="center"/>
                        <w:hideMark/>
                      </w:tcPr>
                      <w:p w14:paraId="3429DF64"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456BDD5D"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532" w:type="pct"/>
                        <w:shd w:val="clear" w:color="auto" w:fill="DEDEDE"/>
                        <w:vAlign w:val="center"/>
                        <w:hideMark/>
                      </w:tcPr>
                      <w:p w14:paraId="5618110D"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14:paraId="37BB16A1"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2E149CCC" w14:textId="0F3CE266"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10. P</w:t>
                        </w:r>
                        <w:r w:rsidRPr="00A31C37">
                          <w:rPr>
                            <w:rFonts w:ascii="Times New Roman" w:hAnsi="Times New Roman" w:cs="Times New Roman"/>
                            <w:sz w:val="18"/>
                            <w:szCs w:val="18"/>
                          </w:rPr>
                          <w:t>asipriešinimo 1940–1990 metų okupacijoms dalyviai – kariai savanoriai, jaunesni kaip 70 metų, ir laisvės kovų dalyviai</w:t>
                        </w:r>
                        <w:r w:rsidR="008A0E29" w:rsidRPr="00A31C37">
                          <w:rPr>
                            <w:rFonts w:ascii="Times New Roman" w:hAnsi="Times New Roman" w:cs="Times New Roman"/>
                            <w:sz w:val="18"/>
                            <w:szCs w:val="18"/>
                          </w:rPr>
                          <w:t>.</w:t>
                        </w:r>
                      </w:p>
                    </w:tc>
                    <w:tc>
                      <w:tcPr>
                        <w:tcW w:w="315" w:type="pct"/>
                        <w:shd w:val="clear" w:color="auto" w:fill="DEDEDE"/>
                        <w:vAlign w:val="center"/>
                        <w:hideMark/>
                      </w:tcPr>
                      <w:p w14:paraId="67D00477"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32483893"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532" w:type="pct"/>
                        <w:shd w:val="clear" w:color="auto" w:fill="DEDEDE"/>
                        <w:vAlign w:val="center"/>
                        <w:hideMark/>
                      </w:tcPr>
                      <w:p w14:paraId="17AF3619"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14:paraId="4E4078D0"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1F5FE526" w14:textId="1613C36D"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11. N</w:t>
                        </w:r>
                        <w:r w:rsidRPr="00A31C37">
                          <w:rPr>
                            <w:rFonts w:ascii="Times New Roman" w:hAnsi="Times New Roman" w:cs="Times New Roman"/>
                            <w:sz w:val="18"/>
                            <w:szCs w:val="18"/>
                          </w:rPr>
                          <w:t>uo 1939–1990 metų okupacijų nukentėję asmenys – politiniai kaliniai ir tremtiniai, buvę getų, koncentracijos ar kitokio tipo prievartinių stovyklų kaliniai, jaunesni kaip 70 metų</w:t>
                        </w:r>
                        <w:r w:rsidR="008A0E29" w:rsidRPr="00A31C37">
                          <w:rPr>
                            <w:rFonts w:ascii="Times New Roman" w:hAnsi="Times New Roman" w:cs="Times New Roman"/>
                            <w:sz w:val="18"/>
                            <w:szCs w:val="18"/>
                          </w:rPr>
                          <w:t>.</w:t>
                        </w:r>
                      </w:p>
                    </w:tc>
                    <w:tc>
                      <w:tcPr>
                        <w:tcW w:w="315" w:type="pct"/>
                        <w:shd w:val="clear" w:color="auto" w:fill="DEDEDE"/>
                        <w:vAlign w:val="center"/>
                        <w:hideMark/>
                      </w:tcPr>
                      <w:p w14:paraId="3CE6A14C"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76C6A6D0"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532" w:type="pct"/>
                        <w:shd w:val="clear" w:color="auto" w:fill="DEDEDE"/>
                        <w:vAlign w:val="center"/>
                        <w:hideMark/>
                      </w:tcPr>
                      <w:p w14:paraId="3DFA8155"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14:paraId="3E3BFBFD"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hideMark/>
                      </w:tcPr>
                      <w:p w14:paraId="1A67A2B9" w14:textId="0B27EF4B"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 xml:space="preserve">12. </w:t>
                        </w:r>
                        <w:r w:rsidRPr="00A31C37">
                          <w:rPr>
                            <w:rFonts w:ascii="Times New Roman" w:hAnsi="Times New Roman" w:cs="Times New Roman"/>
                            <w:sz w:val="18"/>
                            <w:szCs w:val="18"/>
                          </w:rPr>
                          <w:t>Lietuvos Respublikos nepriklausomybės gynėjai, nukentėję nuo 1991 m. sausio 11–13 d. ir po to vykdytos SSRS agresijos</w:t>
                        </w:r>
                        <w:r w:rsidR="008A0E29" w:rsidRPr="00A31C37">
                          <w:rPr>
                            <w:rFonts w:ascii="Times New Roman" w:hAnsi="Times New Roman" w:cs="Times New Roman"/>
                            <w:sz w:val="18"/>
                            <w:szCs w:val="18"/>
                          </w:rPr>
                          <w:t>.</w:t>
                        </w:r>
                      </w:p>
                    </w:tc>
                    <w:tc>
                      <w:tcPr>
                        <w:tcW w:w="315" w:type="pct"/>
                        <w:shd w:val="clear" w:color="auto" w:fill="DEDEDE"/>
                        <w:vAlign w:val="center"/>
                        <w:hideMark/>
                      </w:tcPr>
                      <w:p w14:paraId="14DA60E9"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18C48BFC"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532" w:type="pct"/>
                        <w:shd w:val="clear" w:color="auto" w:fill="DEDEDE"/>
                        <w:vAlign w:val="center"/>
                        <w:hideMark/>
                      </w:tcPr>
                      <w:p w14:paraId="473B0502" w14:textId="77777777"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14:paraId="49D0ED98"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tcPr>
                      <w:p w14:paraId="1E3EDFB8" w14:textId="7462BE35"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13. A</w:t>
                        </w:r>
                        <w:r w:rsidRPr="00A31C37">
                          <w:rPr>
                            <w:rFonts w:ascii="Times New Roman" w:hAnsi="Times New Roman" w:cs="Times New Roman"/>
                            <w:sz w:val="18"/>
                            <w:szCs w:val="18"/>
                          </w:rPr>
                          <w:t>smenys nuo 70 iki 80 metų</w:t>
                        </w:r>
                        <w:r w:rsidR="008A0E29" w:rsidRPr="00A31C37">
                          <w:rPr>
                            <w:rFonts w:ascii="Times New Roman" w:hAnsi="Times New Roman" w:cs="Times New Roman"/>
                            <w:sz w:val="18"/>
                            <w:szCs w:val="18"/>
                          </w:rPr>
                          <w:t>.</w:t>
                        </w:r>
                      </w:p>
                    </w:tc>
                    <w:tc>
                      <w:tcPr>
                        <w:tcW w:w="315" w:type="pct"/>
                        <w:shd w:val="clear" w:color="auto" w:fill="DEDEDE"/>
                        <w:vAlign w:val="center"/>
                      </w:tcPr>
                      <w:p w14:paraId="6D196245"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tcPr>
                      <w:p w14:paraId="01DBD566"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532" w:type="pct"/>
                        <w:shd w:val="clear" w:color="auto" w:fill="DEDEDE"/>
                        <w:vAlign w:val="center"/>
                      </w:tcPr>
                      <w:p w14:paraId="699665EC"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14:paraId="59656BFF" w14:textId="77777777" w:rsidTr="00A4706A">
                    <w:trPr>
                      <w:trHeight w:val="338"/>
                      <w:tblCellSpacing w:w="7" w:type="dxa"/>
                      <w:jc w:val="center"/>
                    </w:trPr>
                    <w:tc>
                      <w:tcPr>
                        <w:tcW w:w="3695" w:type="pct"/>
                        <w:shd w:val="clear" w:color="auto" w:fill="auto"/>
                        <w:tcMar>
                          <w:top w:w="54" w:type="dxa"/>
                          <w:left w:w="107" w:type="dxa"/>
                          <w:bottom w:w="54" w:type="dxa"/>
                          <w:right w:w="107" w:type="dxa"/>
                        </w:tcMar>
                        <w:vAlign w:val="center"/>
                      </w:tcPr>
                      <w:p w14:paraId="6F37CF69" w14:textId="23BD8D52" w:rsidR="009C7AB7" w:rsidRPr="00A31C37" w:rsidRDefault="009C7AB7"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hAnsi="Times New Roman" w:cs="Times New Roman"/>
                            <w:sz w:val="18"/>
                            <w:szCs w:val="18"/>
                          </w:rPr>
                          <w:t xml:space="preserve">14. Aukštųjų mokyklų studentai, studijuojantys pagal nuolatinę arba dieninę studijų formą, Lietuvos Respublikos, kitų Europos Sąjungos valstybių narių ir Europos ekonominės erdvės valstybių piliečiai bei jų šeimos nariai, studijuojantys Europos Sąjungos valstybių narių ar Europos ekonominės erdvės valstybių aukštosiose mokyklose pagal nuolatinę arba dieninę studijų formą, taip pat mokiniai, </w:t>
                        </w:r>
                        <w:r w:rsidRPr="00A31C37">
                          <w:rPr>
                            <w:rFonts w:ascii="Times New Roman" w:hAnsi="Times New Roman" w:cs="Times New Roman"/>
                            <w:b/>
                            <w:bCs/>
                            <w:sz w:val="18"/>
                            <w:szCs w:val="18"/>
                          </w:rPr>
                          <w:t>kurie mokosi pagal formaliojo profesinio mokymo programas</w:t>
                        </w:r>
                        <w:r w:rsidRPr="00A31C37">
                          <w:rPr>
                            <w:rFonts w:ascii="Times New Roman" w:hAnsi="Times New Roman" w:cs="Times New Roman"/>
                            <w:sz w:val="18"/>
                            <w:szCs w:val="18"/>
                          </w:rPr>
                          <w:t xml:space="preserve"> grupinio mokymosi forma kasdieniu mokymo proceso organizavimo būdu, pavienio mokymosi forma savarankišku mokymo proceso organizavimo būdu</w:t>
                        </w:r>
                        <w:r w:rsidR="0044453E" w:rsidRPr="00A31C37">
                          <w:rPr>
                            <w:rFonts w:ascii="Times New Roman" w:hAnsi="Times New Roman" w:cs="Times New Roman"/>
                            <w:b/>
                            <w:bCs/>
                            <w:sz w:val="18"/>
                            <w:szCs w:val="18"/>
                          </w:rPr>
                          <w:t>, vaikai nuo 7 iki 8 metų</w:t>
                        </w:r>
                        <w:r w:rsidR="00D572A5" w:rsidRPr="00A31C37">
                          <w:rPr>
                            <w:rFonts w:ascii="Times New Roman" w:hAnsi="Times New Roman" w:cs="Times New Roman"/>
                            <w:sz w:val="18"/>
                            <w:szCs w:val="18"/>
                          </w:rPr>
                          <w:t>.</w:t>
                        </w:r>
                      </w:p>
                    </w:tc>
                    <w:tc>
                      <w:tcPr>
                        <w:tcW w:w="315" w:type="pct"/>
                        <w:shd w:val="clear" w:color="auto" w:fill="DEDEDE"/>
                        <w:vAlign w:val="center"/>
                      </w:tcPr>
                      <w:p w14:paraId="4B1CDE43"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tcPr>
                      <w:p w14:paraId="2D879891"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532" w:type="pct"/>
                        <w:shd w:val="clear" w:color="auto" w:fill="DEDEDE"/>
                        <w:vAlign w:val="center"/>
                      </w:tcPr>
                      <w:p w14:paraId="45F4BF8D"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D572A5" w:rsidRPr="00D76C44" w14:paraId="14EFA3FF"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tcPr>
                      <w:p w14:paraId="6D060BAD" w14:textId="5C7C34CB" w:rsidR="00D572A5" w:rsidRPr="00A31C37" w:rsidRDefault="00D572A5" w:rsidP="00A4706A">
                        <w:pPr>
                          <w:spacing w:after="0" w:line="240" w:lineRule="auto"/>
                          <w:jc w:val="both"/>
                          <w:rPr>
                            <w:rFonts w:ascii="Times New Roman" w:hAnsi="Times New Roman" w:cs="Times New Roman"/>
                            <w:sz w:val="18"/>
                            <w:szCs w:val="18"/>
                          </w:rPr>
                        </w:pPr>
                        <w:r w:rsidRPr="00A31C37">
                          <w:rPr>
                            <w:rFonts w:ascii="Times New Roman" w:hAnsi="Times New Roman" w:cs="Times New Roman"/>
                            <w:sz w:val="18"/>
                            <w:szCs w:val="18"/>
                          </w:rPr>
                          <w:t xml:space="preserve">15. Aukštųjų mokyklų studentai, studijuojantys pagal nuolatinę arba dieninę studijų formą, Lietuvos Respublikos, kitų Europos Sąjungos valstybių narių ir Europos ekonominės erdvės valstybių piliečiai bei jų šeimos nariai, studijuojantys Europos Sąjungos valstybių narių ar Europos ekonominės erdvės valstybių aukštosiose mokyklose pagal nuolatinę arba dieninę studijų formą, vaikai nuo 7 iki 8 metų, mokiniai, kurie mokosi mokyklose </w:t>
                        </w:r>
                        <w:r w:rsidRPr="00A31C37">
                          <w:rPr>
                            <w:rFonts w:ascii="Times New Roman" w:hAnsi="Times New Roman" w:cs="Times New Roman"/>
                            <w:b/>
                            <w:bCs/>
                            <w:sz w:val="18"/>
                            <w:szCs w:val="18"/>
                          </w:rPr>
                          <w:t>pagal bendrojo ugdymo programas</w:t>
                        </w:r>
                        <w:r w:rsidRPr="00A31C37">
                          <w:rPr>
                            <w:rFonts w:ascii="Times New Roman" w:hAnsi="Times New Roman" w:cs="Times New Roman"/>
                            <w:sz w:val="18"/>
                            <w:szCs w:val="18"/>
                          </w:rPr>
                          <w:t xml:space="preserve"> (išskyrus pilnamečius asmenis, kurie mokosi pagal suaugusiųjų pradinio, pagrindinio, vidurinio ugdymo programas) grupinio mokymosi forma kasdieniu mokymo proceso organizavimo būdu ir pavienio mokymosi forma savarankišku mokymo proceso organizavimo būdu, </w:t>
                        </w:r>
                        <w:r w:rsidRPr="00A31C37">
                          <w:rPr>
                            <w:rFonts w:ascii="Times New Roman" w:hAnsi="Times New Roman" w:cs="Times New Roman"/>
                            <w:b/>
                            <w:bCs/>
                            <w:sz w:val="18"/>
                            <w:szCs w:val="18"/>
                          </w:rPr>
                          <w:t>pagal formaliojo profesinio mokymo programas</w:t>
                        </w:r>
                        <w:r w:rsidRPr="00A31C37">
                          <w:rPr>
                            <w:rFonts w:ascii="Times New Roman" w:hAnsi="Times New Roman" w:cs="Times New Roman"/>
                            <w:sz w:val="18"/>
                            <w:szCs w:val="18"/>
                          </w:rPr>
                          <w:t xml:space="preserve"> grupinio mokymosi forma kasdieniu mokymo proceso organizavimo būdu ir pavienio mokymosi forma savarankišku mokymo proceso organizavimo būdu, ir </w:t>
                        </w:r>
                        <w:r w:rsidRPr="00A31C37">
                          <w:rPr>
                            <w:rFonts w:ascii="Times New Roman" w:hAnsi="Times New Roman" w:cs="Times New Roman"/>
                            <w:b/>
                            <w:bCs/>
                            <w:sz w:val="18"/>
                            <w:szCs w:val="18"/>
                            <w:u w:val="single"/>
                          </w:rPr>
                          <w:t>mokyklų, vykdančių specializuoto ugdymo krypties programas</w:t>
                        </w:r>
                        <w:r w:rsidRPr="00A31C37">
                          <w:rPr>
                            <w:rFonts w:ascii="Times New Roman" w:hAnsi="Times New Roman" w:cs="Times New Roman"/>
                            <w:sz w:val="18"/>
                            <w:szCs w:val="18"/>
                          </w:rPr>
                          <w:t>, mokiniai turi teisę įsigyti važiavimo vietinio (miesto) reguliaraus susisiekimo autobusais ir troleibusais bilietą su šiomis nuolaidomis.</w:t>
                        </w:r>
                      </w:p>
                    </w:tc>
                    <w:tc>
                      <w:tcPr>
                        <w:tcW w:w="315" w:type="pct"/>
                        <w:shd w:val="clear" w:color="auto" w:fill="DEDEDE"/>
                        <w:vAlign w:val="center"/>
                      </w:tcPr>
                      <w:p w14:paraId="1BFAD247" w14:textId="6140F1BE" w:rsidR="00D572A5" w:rsidRDefault="00D572A5" w:rsidP="00D572A5">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w:t>
                        </w:r>
                      </w:p>
                    </w:tc>
                    <w:tc>
                      <w:tcPr>
                        <w:tcW w:w="423" w:type="pct"/>
                        <w:shd w:val="clear" w:color="auto" w:fill="DEDEDE"/>
                        <w:vAlign w:val="center"/>
                      </w:tcPr>
                      <w:p w14:paraId="1386E077" w14:textId="77777777" w:rsidR="00D572A5" w:rsidRDefault="00D572A5" w:rsidP="00D572A5">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Taip</w:t>
                        </w:r>
                      </w:p>
                      <w:p w14:paraId="0061ACF6" w14:textId="385DF1EC" w:rsidR="00D572A5" w:rsidRDefault="00D572A5" w:rsidP="00D572A5">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Terminuotą vardinį</w:t>
                        </w:r>
                      </w:p>
                    </w:tc>
                    <w:tc>
                      <w:tcPr>
                        <w:tcW w:w="532" w:type="pct"/>
                        <w:shd w:val="clear" w:color="auto" w:fill="DEDEDE"/>
                        <w:vAlign w:val="center"/>
                      </w:tcPr>
                      <w:p w14:paraId="3E351190" w14:textId="0716C986" w:rsidR="00D572A5" w:rsidRDefault="00D572A5" w:rsidP="00D572A5">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taip</w:t>
                        </w:r>
                      </w:p>
                    </w:tc>
                  </w:tr>
                  <w:tr w:rsidR="00E85314" w:rsidRPr="00D76C44" w14:paraId="38570614"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tcPr>
                      <w:p w14:paraId="11F4562D" w14:textId="7EFC2306" w:rsidR="00E85314" w:rsidRPr="00A31C37" w:rsidRDefault="00E85314" w:rsidP="00A4706A">
                        <w:pPr>
                          <w:spacing w:after="0" w:line="240" w:lineRule="auto"/>
                          <w:jc w:val="both"/>
                          <w:rPr>
                            <w:rFonts w:ascii="Times New Roman" w:hAnsi="Times New Roman" w:cs="Times New Roman"/>
                            <w:b/>
                            <w:bCs/>
                            <w:sz w:val="18"/>
                            <w:szCs w:val="18"/>
                          </w:rPr>
                        </w:pPr>
                        <w:r w:rsidRPr="00A31C37">
                          <w:rPr>
                            <w:rFonts w:ascii="Times New Roman" w:hAnsi="Times New Roman" w:cs="Times New Roman"/>
                            <w:b/>
                            <w:bCs/>
                            <w:sz w:val="18"/>
                            <w:szCs w:val="18"/>
                          </w:rPr>
                          <w:t>1</w:t>
                        </w:r>
                        <w:r w:rsidR="00D572A5" w:rsidRPr="00A31C37">
                          <w:rPr>
                            <w:rFonts w:ascii="Times New Roman" w:hAnsi="Times New Roman" w:cs="Times New Roman"/>
                            <w:b/>
                            <w:bCs/>
                            <w:sz w:val="18"/>
                            <w:szCs w:val="18"/>
                          </w:rPr>
                          <w:t>6</w:t>
                        </w:r>
                        <w:r w:rsidRPr="00A31C37">
                          <w:rPr>
                            <w:rFonts w:ascii="Times New Roman" w:hAnsi="Times New Roman" w:cs="Times New Roman"/>
                            <w:b/>
                            <w:bCs/>
                            <w:sz w:val="18"/>
                            <w:szCs w:val="18"/>
                          </w:rPr>
                          <w:t>. Mokiniai, kurie mokosi mokyklose pagal bendrojo ugdymo programas (išskyrus pilnamečius asmenis, kurie mokosi pagal suaugusiųjų pradinio, pagrindinio, vidurinio ugdymo programas)</w:t>
                        </w:r>
                        <w:r w:rsidR="008A0E29" w:rsidRPr="00A31C37">
                          <w:rPr>
                            <w:rFonts w:ascii="Times New Roman" w:hAnsi="Times New Roman" w:cs="Times New Roman"/>
                            <w:b/>
                            <w:bCs/>
                            <w:sz w:val="18"/>
                            <w:szCs w:val="18"/>
                          </w:rPr>
                          <w:t>.</w:t>
                        </w:r>
                      </w:p>
                    </w:tc>
                    <w:tc>
                      <w:tcPr>
                        <w:tcW w:w="315" w:type="pct"/>
                        <w:shd w:val="clear" w:color="auto" w:fill="DEDEDE"/>
                        <w:vAlign w:val="center"/>
                      </w:tcPr>
                      <w:p w14:paraId="659ABCDC" w14:textId="7BFA95CD" w:rsidR="00E85314" w:rsidRPr="00D76C44" w:rsidRDefault="00E85314" w:rsidP="00C11EF6">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w:t>
                        </w:r>
                      </w:p>
                    </w:tc>
                    <w:tc>
                      <w:tcPr>
                        <w:tcW w:w="423" w:type="pct"/>
                        <w:shd w:val="clear" w:color="auto" w:fill="DEDEDE"/>
                        <w:vAlign w:val="center"/>
                      </w:tcPr>
                      <w:p w14:paraId="53E279BE" w14:textId="74740495" w:rsidR="00E85314" w:rsidRDefault="00E85314" w:rsidP="00C11EF6">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Taip</w:t>
                        </w:r>
                      </w:p>
                      <w:p w14:paraId="7C4C2CD1" w14:textId="74516561" w:rsidR="00E85314" w:rsidRPr="00D76C44" w:rsidRDefault="00E85314" w:rsidP="00C11EF6">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Terminuotą vardinį</w:t>
                        </w:r>
                      </w:p>
                    </w:tc>
                    <w:tc>
                      <w:tcPr>
                        <w:tcW w:w="532" w:type="pct"/>
                        <w:shd w:val="clear" w:color="auto" w:fill="DEDEDE"/>
                        <w:vAlign w:val="center"/>
                      </w:tcPr>
                      <w:p w14:paraId="11605985" w14:textId="54592C05" w:rsidR="00E85314" w:rsidRPr="00D76C44" w:rsidRDefault="00E85314" w:rsidP="00C11EF6">
                        <w:pPr>
                          <w:spacing w:after="0" w:line="240" w:lineRule="auto"/>
                          <w:jc w:val="center"/>
                          <w:rPr>
                            <w:rFonts w:ascii="Times New Roman" w:eastAsia="Times New Roman" w:hAnsi="Times New Roman" w:cs="Times New Roman"/>
                            <w:color w:val="444444"/>
                            <w:sz w:val="18"/>
                            <w:szCs w:val="18"/>
                            <w:lang w:eastAsia="lt-LT"/>
                          </w:rPr>
                        </w:pPr>
                        <w:r>
                          <w:rPr>
                            <w:rFonts w:ascii="Times New Roman" w:eastAsia="Times New Roman" w:hAnsi="Times New Roman" w:cs="Times New Roman"/>
                            <w:color w:val="444444"/>
                            <w:sz w:val="18"/>
                            <w:szCs w:val="18"/>
                            <w:lang w:eastAsia="lt-LT"/>
                          </w:rPr>
                          <w:t>taip</w:t>
                        </w:r>
                      </w:p>
                    </w:tc>
                  </w:tr>
                  <w:tr w:rsidR="009C7AB7" w:rsidRPr="00D76C44" w14:paraId="2A7A263C"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tcPr>
                      <w:p w14:paraId="12DE6D3E" w14:textId="56BF2C43" w:rsidR="00B84004" w:rsidRPr="00BF29B7" w:rsidRDefault="009C7AB7" w:rsidP="00A4706A">
                        <w:pPr>
                          <w:spacing w:after="0" w:line="240" w:lineRule="auto"/>
                          <w:jc w:val="both"/>
                          <w:rPr>
                            <w:rFonts w:ascii="Times New Roman" w:hAnsi="Times New Roman" w:cs="Times New Roman"/>
                            <w:sz w:val="18"/>
                            <w:szCs w:val="18"/>
                          </w:rPr>
                        </w:pPr>
                        <w:r w:rsidRPr="00A31C37">
                          <w:rPr>
                            <w:rFonts w:ascii="Times New Roman" w:hAnsi="Times New Roman" w:cs="Times New Roman"/>
                            <w:sz w:val="18"/>
                            <w:szCs w:val="18"/>
                          </w:rPr>
                          <w:t>1</w:t>
                        </w:r>
                        <w:r w:rsidR="00D572A5" w:rsidRPr="00A31C37">
                          <w:rPr>
                            <w:rFonts w:ascii="Times New Roman" w:hAnsi="Times New Roman" w:cs="Times New Roman"/>
                            <w:sz w:val="18"/>
                            <w:szCs w:val="18"/>
                          </w:rPr>
                          <w:t>7</w:t>
                        </w:r>
                        <w:r w:rsidRPr="00A31C37">
                          <w:rPr>
                            <w:rFonts w:ascii="Times New Roman" w:hAnsi="Times New Roman" w:cs="Times New Roman"/>
                            <w:sz w:val="18"/>
                            <w:szCs w:val="18"/>
                          </w:rPr>
                          <w:t xml:space="preserve">. </w:t>
                        </w:r>
                        <w:r w:rsidR="00DA6AC2" w:rsidRPr="00A31C37">
                          <w:rPr>
                            <w:rFonts w:ascii="Times New Roman" w:hAnsi="Times New Roman" w:cs="Times New Roman"/>
                            <w:sz w:val="18"/>
                            <w:szCs w:val="18"/>
                          </w:rPr>
                          <w:t>Keleiviui, vežančiam vaiką (vaikus) iki 7 metų  vietinio (miesto ir priemiestinio) reguliaraus susisiekimo autobusais</w:t>
                        </w:r>
                        <w:r w:rsidR="002A5CA3" w:rsidRPr="002A5CA3">
                          <w:rPr>
                            <w:rFonts w:ascii="Times New Roman" w:hAnsi="Times New Roman" w:cs="Times New Roman"/>
                            <w:sz w:val="18"/>
                            <w:szCs w:val="18"/>
                          </w:rPr>
                          <w:t>,</w:t>
                        </w:r>
                        <w:r w:rsidR="0095472A">
                          <w:rPr>
                            <w:rFonts w:ascii="Times New Roman" w:hAnsi="Times New Roman" w:cs="Times New Roman"/>
                            <w:sz w:val="18"/>
                            <w:szCs w:val="18"/>
                          </w:rPr>
                          <w:t xml:space="preserve"> užimančiam atskirą sėdimą vietą,</w:t>
                        </w:r>
                        <w:r w:rsidR="002A5CA3" w:rsidRPr="002A5CA3">
                          <w:rPr>
                            <w:rFonts w:ascii="Times New Roman" w:hAnsi="Times New Roman" w:cs="Times New Roman"/>
                            <w:sz w:val="18"/>
                            <w:szCs w:val="18"/>
                          </w:rPr>
                          <w:t xml:space="preserve"> suteikiama teisė vaikui (vaikams) iki 7 metų įgyti</w:t>
                        </w:r>
                        <w:r w:rsidR="002A5CA3">
                          <w:rPr>
                            <w:rFonts w:ascii="Times New Roman" w:hAnsi="Times New Roman" w:cs="Times New Roman"/>
                            <w:sz w:val="18"/>
                            <w:szCs w:val="18"/>
                          </w:rPr>
                          <w:t xml:space="preserve"> </w:t>
                        </w:r>
                        <w:r w:rsidR="002A5CA3" w:rsidRPr="00BF29B7">
                          <w:rPr>
                            <w:rFonts w:ascii="Times New Roman" w:hAnsi="Times New Roman" w:cs="Times New Roman"/>
                            <w:sz w:val="18"/>
                            <w:szCs w:val="18"/>
                            <w:lang w:eastAsia="lt-LT"/>
                          </w:rPr>
                          <w:t>važiavimo bilietą</w:t>
                        </w:r>
                        <w:r w:rsidR="008A0E29" w:rsidRPr="00BF29B7">
                          <w:rPr>
                            <w:rFonts w:ascii="Times New Roman" w:hAnsi="Times New Roman" w:cs="Times New Roman"/>
                            <w:sz w:val="18"/>
                            <w:szCs w:val="18"/>
                          </w:rPr>
                          <w:t>.</w:t>
                        </w:r>
                      </w:p>
                      <w:p w14:paraId="0FAF8E9D" w14:textId="77777777" w:rsidR="00A4706A" w:rsidRPr="00F25CAD" w:rsidRDefault="00A4706A" w:rsidP="00A4706A">
                        <w:pPr>
                          <w:spacing w:after="0" w:line="240" w:lineRule="auto"/>
                          <w:jc w:val="both"/>
                          <w:rPr>
                            <w:rFonts w:ascii="Times New Roman" w:eastAsia="Times New Roman" w:hAnsi="Times New Roman" w:cs="Times New Roman"/>
                            <w:sz w:val="18"/>
                            <w:szCs w:val="18"/>
                            <w:lang w:eastAsia="lt-LT"/>
                          </w:rPr>
                        </w:pPr>
                      </w:p>
                      <w:p w14:paraId="22ED056F" w14:textId="7C667030" w:rsidR="00A4706A" w:rsidRPr="00A31C37" w:rsidRDefault="00F25CAD" w:rsidP="00A4706A">
                        <w:pPr>
                          <w:spacing w:after="0" w:line="240" w:lineRule="auto"/>
                          <w:jc w:val="both"/>
                          <w:rPr>
                            <w:rFonts w:ascii="Times New Roman" w:eastAsia="Times New Roman" w:hAnsi="Times New Roman" w:cs="Times New Roman"/>
                            <w:sz w:val="18"/>
                            <w:szCs w:val="18"/>
                            <w:lang w:eastAsia="lt-LT"/>
                          </w:rPr>
                        </w:pPr>
                        <w:r w:rsidRPr="00F25CAD">
                          <w:rPr>
                            <w:rFonts w:ascii="Times New Roman" w:hAnsi="Times New Roman" w:cs="Times New Roman"/>
                            <w:color w:val="000000"/>
                          </w:rPr>
                          <w:t>D</w:t>
                        </w:r>
                        <w:r w:rsidRPr="00F25CAD">
                          <w:rPr>
                            <w:rFonts w:ascii="Times New Roman" w:hAnsi="Times New Roman" w:cs="Times New Roman"/>
                            <w:color w:val="000000"/>
                          </w:rPr>
                          <w:t>u vaik</w:t>
                        </w:r>
                        <w:r w:rsidRPr="00F25CAD">
                          <w:rPr>
                            <w:rFonts w:ascii="Times New Roman" w:hAnsi="Times New Roman" w:cs="Times New Roman"/>
                            <w:color w:val="000000"/>
                          </w:rPr>
                          <w:t>ai</w:t>
                        </w:r>
                        <w:r w:rsidRPr="00F25CAD">
                          <w:rPr>
                            <w:rFonts w:ascii="Times New Roman" w:hAnsi="Times New Roman" w:cs="Times New Roman"/>
                            <w:color w:val="000000"/>
                          </w:rPr>
                          <w:t xml:space="preserve"> iki 7 metų</w:t>
                        </w:r>
                        <w:r>
                          <w:rPr>
                            <w:rFonts w:ascii="Times New Roman" w:hAnsi="Times New Roman" w:cs="Times New Roman"/>
                            <w:color w:val="000000"/>
                          </w:rPr>
                          <w:t>,</w:t>
                        </w:r>
                        <w:r w:rsidRPr="00F25CAD">
                          <w:rPr>
                            <w:rFonts w:ascii="Times New Roman" w:hAnsi="Times New Roman" w:cs="Times New Roman"/>
                            <w:color w:val="000000"/>
                          </w:rPr>
                          <w:t xml:space="preserve"> neužimant atskiros sėdimos ar miegamos vietos</w:t>
                        </w:r>
                        <w:r>
                          <w:rPr>
                            <w:rFonts w:ascii="Times New Roman" w:hAnsi="Times New Roman" w:cs="Times New Roman"/>
                            <w:color w:val="000000"/>
                          </w:rPr>
                          <w:t>,</w:t>
                        </w:r>
                        <w:r w:rsidRPr="00F25CAD">
                          <w:rPr>
                            <w:rFonts w:ascii="Times New Roman" w:hAnsi="Times New Roman" w:cs="Times New Roman"/>
                            <w:color w:val="000000"/>
                          </w:rPr>
                          <w:t xml:space="preserve"> vežami nemokamai.</w:t>
                        </w:r>
                      </w:p>
                    </w:tc>
                    <w:tc>
                      <w:tcPr>
                        <w:tcW w:w="315" w:type="pct"/>
                        <w:shd w:val="clear" w:color="auto" w:fill="DEDEDE"/>
                        <w:vAlign w:val="center"/>
                      </w:tcPr>
                      <w:p w14:paraId="79F62719"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tcPr>
                      <w:p w14:paraId="7346D7A0"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532" w:type="pct"/>
                        <w:shd w:val="clear" w:color="auto" w:fill="DEDEDE"/>
                        <w:vAlign w:val="center"/>
                      </w:tcPr>
                      <w:p w14:paraId="7FCB048A"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A4706A" w:rsidRPr="00D76C44" w14:paraId="7DCEEE49" w14:textId="77777777" w:rsidTr="00A4706A">
                    <w:trPr>
                      <w:trHeight w:val="197"/>
                      <w:tblCellSpacing w:w="7" w:type="dxa"/>
                      <w:jc w:val="center"/>
                    </w:trPr>
                    <w:tc>
                      <w:tcPr>
                        <w:tcW w:w="3695" w:type="pct"/>
                        <w:shd w:val="clear" w:color="auto" w:fill="auto"/>
                        <w:tcMar>
                          <w:top w:w="54" w:type="dxa"/>
                          <w:left w:w="107" w:type="dxa"/>
                          <w:bottom w:w="54" w:type="dxa"/>
                          <w:right w:w="107" w:type="dxa"/>
                        </w:tcMar>
                        <w:vAlign w:val="center"/>
                      </w:tcPr>
                      <w:p w14:paraId="31982777" w14:textId="77777777" w:rsidR="00A4706A" w:rsidRPr="00A31C37" w:rsidRDefault="00A4706A" w:rsidP="00A4706A">
                        <w:pPr>
                          <w:spacing w:after="0" w:line="240" w:lineRule="auto"/>
                          <w:jc w:val="both"/>
                          <w:rPr>
                            <w:rFonts w:ascii="Times New Roman" w:eastAsia="Times New Roman" w:hAnsi="Times New Roman" w:cs="Times New Roman"/>
                            <w:sz w:val="18"/>
                            <w:szCs w:val="18"/>
                            <w:lang w:eastAsia="lt-LT"/>
                          </w:rPr>
                        </w:pPr>
                        <w:r w:rsidRPr="00A31C37">
                          <w:rPr>
                            <w:rFonts w:ascii="Times New Roman" w:eastAsia="Times New Roman" w:hAnsi="Times New Roman" w:cs="Times New Roman"/>
                            <w:sz w:val="18"/>
                            <w:szCs w:val="18"/>
                            <w:lang w:eastAsia="lt-LT"/>
                          </w:rPr>
                          <w:t xml:space="preserve">18. Mokyklų, vykdančių </w:t>
                        </w:r>
                        <w:r w:rsidRPr="00A8541A">
                          <w:rPr>
                            <w:rFonts w:ascii="Times New Roman" w:eastAsia="Times New Roman" w:hAnsi="Times New Roman" w:cs="Times New Roman"/>
                            <w:b/>
                            <w:bCs/>
                            <w:sz w:val="18"/>
                            <w:szCs w:val="18"/>
                            <w:lang w:eastAsia="lt-LT"/>
                          </w:rPr>
                          <w:t>specializuoto ugdymo krypties programas mokiniai</w:t>
                        </w:r>
                        <w:r w:rsidRPr="00A31C37">
                          <w:rPr>
                            <w:rFonts w:ascii="Times New Roman" w:eastAsia="Times New Roman" w:hAnsi="Times New Roman" w:cs="Times New Roman"/>
                            <w:sz w:val="18"/>
                            <w:szCs w:val="18"/>
                            <w:lang w:eastAsia="lt-LT"/>
                          </w:rPr>
                          <w:t>, pateikę mokinio pažymėjimą.</w:t>
                        </w:r>
                      </w:p>
                      <w:p w14:paraId="151B2E20" w14:textId="77777777" w:rsidR="00A4706A" w:rsidRPr="00A31C37" w:rsidRDefault="00A4706A" w:rsidP="00A4706A">
                        <w:pPr>
                          <w:spacing w:after="0" w:line="240" w:lineRule="auto"/>
                          <w:jc w:val="both"/>
                          <w:rPr>
                            <w:rFonts w:ascii="Times New Roman" w:hAnsi="Times New Roman" w:cs="Times New Roman"/>
                            <w:sz w:val="18"/>
                            <w:szCs w:val="18"/>
                          </w:rPr>
                        </w:pPr>
                      </w:p>
                    </w:tc>
                    <w:tc>
                      <w:tcPr>
                        <w:tcW w:w="315" w:type="pct"/>
                        <w:shd w:val="clear" w:color="auto" w:fill="DEDEDE"/>
                        <w:vAlign w:val="center"/>
                      </w:tcPr>
                      <w:p w14:paraId="4EC5328D" w14:textId="352E388D" w:rsidR="00A4706A" w:rsidRPr="00D76C44" w:rsidRDefault="00A4706A" w:rsidP="00A4706A">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tcPr>
                      <w:p w14:paraId="493C426D" w14:textId="77777777" w:rsidR="00A4706A" w:rsidRPr="00E405C9" w:rsidRDefault="00A4706A" w:rsidP="00A4706A">
                        <w:pPr>
                          <w:spacing w:after="0" w:line="240" w:lineRule="auto"/>
                          <w:jc w:val="center"/>
                          <w:rPr>
                            <w:rFonts w:ascii="Times New Roman" w:eastAsia="Times New Roman" w:hAnsi="Times New Roman" w:cs="Times New Roman"/>
                            <w:color w:val="444444"/>
                            <w:sz w:val="18"/>
                            <w:szCs w:val="18"/>
                            <w:lang w:eastAsia="lt-LT"/>
                          </w:rPr>
                        </w:pPr>
                        <w:r w:rsidRPr="00E405C9">
                          <w:rPr>
                            <w:rFonts w:ascii="Times New Roman" w:eastAsia="Times New Roman" w:hAnsi="Times New Roman" w:cs="Times New Roman"/>
                            <w:color w:val="444444"/>
                            <w:sz w:val="18"/>
                            <w:szCs w:val="18"/>
                            <w:lang w:eastAsia="lt-LT"/>
                          </w:rPr>
                          <w:t>Taip</w:t>
                        </w:r>
                      </w:p>
                      <w:p w14:paraId="7E313C83" w14:textId="27CD3B32" w:rsidR="00A4706A" w:rsidRPr="00D76C44" w:rsidRDefault="00A4706A" w:rsidP="00A4706A">
                        <w:pPr>
                          <w:spacing w:after="0" w:line="240" w:lineRule="auto"/>
                          <w:jc w:val="center"/>
                          <w:rPr>
                            <w:rFonts w:ascii="Times New Roman" w:eastAsia="Times New Roman" w:hAnsi="Times New Roman" w:cs="Times New Roman"/>
                            <w:color w:val="444444"/>
                            <w:sz w:val="18"/>
                            <w:szCs w:val="18"/>
                            <w:lang w:eastAsia="lt-LT"/>
                          </w:rPr>
                        </w:pPr>
                        <w:r w:rsidRPr="00E405C9">
                          <w:rPr>
                            <w:rFonts w:ascii="Times New Roman" w:eastAsia="Times New Roman" w:hAnsi="Times New Roman" w:cs="Times New Roman"/>
                            <w:color w:val="444444"/>
                            <w:sz w:val="18"/>
                            <w:szCs w:val="18"/>
                            <w:lang w:eastAsia="lt-LT"/>
                          </w:rPr>
                          <w:t>Terminuotą vardinį</w:t>
                        </w:r>
                      </w:p>
                    </w:tc>
                    <w:tc>
                      <w:tcPr>
                        <w:tcW w:w="532" w:type="pct"/>
                        <w:shd w:val="clear" w:color="auto" w:fill="DEDEDE"/>
                        <w:vAlign w:val="center"/>
                      </w:tcPr>
                      <w:p w14:paraId="41EB6001" w14:textId="0764C0B6" w:rsidR="00A4706A" w:rsidRPr="00D76C44" w:rsidRDefault="00A4706A" w:rsidP="00A4706A">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14:paraId="501E54D9" w14:textId="77777777" w:rsidTr="00A4706A">
                    <w:trPr>
                      <w:trHeight w:val="3473"/>
                      <w:tblCellSpacing w:w="7" w:type="dxa"/>
                      <w:jc w:val="center"/>
                    </w:trPr>
                    <w:tc>
                      <w:tcPr>
                        <w:tcW w:w="3695" w:type="pct"/>
                        <w:shd w:val="clear" w:color="auto" w:fill="auto"/>
                        <w:tcMar>
                          <w:top w:w="54" w:type="dxa"/>
                          <w:left w:w="107" w:type="dxa"/>
                          <w:bottom w:w="54" w:type="dxa"/>
                          <w:right w:w="107" w:type="dxa"/>
                        </w:tcMar>
                        <w:vAlign w:val="center"/>
                        <w:hideMark/>
                      </w:tcPr>
                      <w:p w14:paraId="31D1689E" w14:textId="77777777" w:rsidR="009C7AB7" w:rsidRPr="00D76C44" w:rsidRDefault="009C7AB7" w:rsidP="00C11EF6">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lastRenderedPageBreak/>
                          <w:t>Šiuo metų šalyje veikia 15 mokyklų, vykdančių specializuoto ugdymo krypties Programas“</w:t>
                        </w:r>
                      </w:p>
                      <w:p w14:paraId="49A746EC"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dailės gimnazija;</w:t>
                        </w:r>
                      </w:p>
                      <w:p w14:paraId="31589730"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Juozo Gruodžio konservatorija;</w:t>
                        </w:r>
                      </w:p>
                      <w:p w14:paraId="2EACE2E8"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Juozo Naujalio muzikos gimnazija;</w:t>
                        </w:r>
                      </w:p>
                      <w:p w14:paraId="3989A949"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technologijos universiteto inžinerijos licėjus;</w:t>
                        </w:r>
                      </w:p>
                      <w:p w14:paraId="7130288A"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Klaipėdos Eduardo Balsio menų gimnazija;</w:t>
                        </w:r>
                      </w:p>
                      <w:p w14:paraId="5F9019DC"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Klaipėdos Stasio Šimkaus konservatorija;</w:t>
                        </w:r>
                      </w:p>
                      <w:p w14:paraId="363D0422"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Nacionalinė Mikalojaus Konstantino Čiurlionio menų mokykla;</w:t>
                        </w:r>
                      </w:p>
                      <w:p w14:paraId="5DD465D0"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Panevėžio Vytauto Mikalausko menų gimnazija;</w:t>
                        </w:r>
                      </w:p>
                      <w:p w14:paraId="3852D81F"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Panevėžio Raimundo Sargūno sporto gimnazija;</w:t>
                        </w:r>
                      </w:p>
                      <w:p w14:paraId="5D39E4E4"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Šiaulių Sauliaus Sondeckio menų gimnazija;</w:t>
                        </w:r>
                      </w:p>
                      <w:p w14:paraId="110EF18C"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Šiaulių sporto gimnazija;</w:t>
                        </w:r>
                      </w:p>
                      <w:p w14:paraId="05553EDC"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Vilniaus Joachimo Lelevelio inžinerijos gimnazija;</w:t>
                        </w:r>
                      </w:p>
                      <w:p w14:paraId="32593DD6"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Vilniaus Juozo Tallat-Kelpšos konservatorija;</w:t>
                        </w:r>
                      </w:p>
                      <w:p w14:paraId="24A61243"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Vilniaus Gedimino technikos universiteto inžinerijos licėjus;</w:t>
                        </w:r>
                      </w:p>
                      <w:p w14:paraId="12174DD0" w14:textId="77777777"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Vilniaus Ozo gimnazija.</w:t>
                        </w:r>
                      </w:p>
                    </w:tc>
                    <w:tc>
                      <w:tcPr>
                        <w:tcW w:w="315" w:type="pct"/>
                        <w:shd w:val="clear" w:color="auto" w:fill="DEDEDE"/>
                        <w:vAlign w:val="center"/>
                        <w:hideMark/>
                      </w:tcPr>
                      <w:p w14:paraId="2310E441"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23" w:type="pct"/>
                        <w:shd w:val="clear" w:color="auto" w:fill="DEDEDE"/>
                        <w:vAlign w:val="center"/>
                        <w:hideMark/>
                      </w:tcPr>
                      <w:p w14:paraId="3D32B4EB" w14:textId="77777777" w:rsidR="00E405C9" w:rsidRPr="00E405C9" w:rsidRDefault="00E405C9" w:rsidP="00E405C9">
                        <w:pPr>
                          <w:spacing w:after="0" w:line="240" w:lineRule="auto"/>
                          <w:jc w:val="center"/>
                          <w:rPr>
                            <w:rFonts w:ascii="Times New Roman" w:eastAsia="Times New Roman" w:hAnsi="Times New Roman" w:cs="Times New Roman"/>
                            <w:color w:val="444444"/>
                            <w:sz w:val="18"/>
                            <w:szCs w:val="18"/>
                            <w:lang w:eastAsia="lt-LT"/>
                          </w:rPr>
                        </w:pPr>
                        <w:r w:rsidRPr="00E405C9">
                          <w:rPr>
                            <w:rFonts w:ascii="Times New Roman" w:eastAsia="Times New Roman" w:hAnsi="Times New Roman" w:cs="Times New Roman"/>
                            <w:color w:val="444444"/>
                            <w:sz w:val="18"/>
                            <w:szCs w:val="18"/>
                            <w:lang w:eastAsia="lt-LT"/>
                          </w:rPr>
                          <w:t>Taip</w:t>
                        </w:r>
                      </w:p>
                      <w:p w14:paraId="5A115439" w14:textId="5D536134" w:rsidR="009C7AB7" w:rsidRPr="00D76C44" w:rsidRDefault="00E405C9" w:rsidP="00E405C9">
                        <w:pPr>
                          <w:spacing w:after="0" w:line="240" w:lineRule="auto"/>
                          <w:jc w:val="center"/>
                          <w:rPr>
                            <w:rFonts w:ascii="Times New Roman" w:eastAsia="Times New Roman" w:hAnsi="Times New Roman" w:cs="Times New Roman"/>
                            <w:color w:val="444444"/>
                            <w:sz w:val="18"/>
                            <w:szCs w:val="18"/>
                            <w:lang w:eastAsia="lt-LT"/>
                          </w:rPr>
                        </w:pPr>
                        <w:r w:rsidRPr="00E405C9">
                          <w:rPr>
                            <w:rFonts w:ascii="Times New Roman" w:eastAsia="Times New Roman" w:hAnsi="Times New Roman" w:cs="Times New Roman"/>
                            <w:color w:val="444444"/>
                            <w:sz w:val="18"/>
                            <w:szCs w:val="18"/>
                            <w:lang w:eastAsia="lt-LT"/>
                          </w:rPr>
                          <w:t>Terminuotą vardinį</w:t>
                        </w:r>
                      </w:p>
                    </w:tc>
                    <w:tc>
                      <w:tcPr>
                        <w:tcW w:w="532" w:type="pct"/>
                        <w:shd w:val="clear" w:color="auto" w:fill="DEDEDE"/>
                        <w:vAlign w:val="center"/>
                        <w:hideMark/>
                      </w:tcPr>
                      <w:p w14:paraId="65D8FAE7" w14:textId="77777777"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bl>
                <w:p w14:paraId="36A9D602" w14:textId="77777777" w:rsidR="006630D7" w:rsidRPr="00D76C44" w:rsidRDefault="006630D7" w:rsidP="006630D7">
                  <w:pPr>
                    <w:spacing w:after="0" w:line="240" w:lineRule="auto"/>
                    <w:rPr>
                      <w:rFonts w:ascii="Times New Roman" w:eastAsia="Times New Roman" w:hAnsi="Times New Roman" w:cs="Times New Roman"/>
                      <w:sz w:val="18"/>
                      <w:szCs w:val="18"/>
                      <w:lang w:eastAsia="lt-LT"/>
                    </w:rPr>
                  </w:pPr>
                </w:p>
              </w:tc>
            </w:tr>
          </w:tbl>
          <w:p w14:paraId="5B689A66" w14:textId="77777777" w:rsidR="006630D7" w:rsidRPr="00D76C44" w:rsidRDefault="006630D7" w:rsidP="006630D7">
            <w:pPr>
              <w:spacing w:after="0" w:line="240" w:lineRule="auto"/>
              <w:rPr>
                <w:rFonts w:ascii="Times New Roman" w:eastAsia="Times New Roman" w:hAnsi="Times New Roman" w:cs="Times New Roman"/>
                <w:sz w:val="18"/>
                <w:szCs w:val="18"/>
                <w:lang w:eastAsia="lt-LT"/>
              </w:rPr>
            </w:pPr>
          </w:p>
        </w:tc>
      </w:tr>
      <w:bookmarkEnd w:id="0"/>
    </w:tbl>
    <w:p w14:paraId="1D3F10F1" w14:textId="77777777" w:rsidR="009C3B52" w:rsidRDefault="009C3B52" w:rsidP="009C3B52"/>
    <w:sectPr w:rsidR="009C3B52" w:rsidSect="00D76C44">
      <w:pgSz w:w="11906" w:h="16838"/>
      <w:pgMar w:top="284" w:right="567" w:bottom="284"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982F" w14:textId="77777777" w:rsidR="00D24A49" w:rsidRDefault="00D24A49" w:rsidP="00E64287">
      <w:pPr>
        <w:spacing w:after="0" w:line="240" w:lineRule="auto"/>
      </w:pPr>
      <w:r>
        <w:separator/>
      </w:r>
    </w:p>
  </w:endnote>
  <w:endnote w:type="continuationSeparator" w:id="0">
    <w:p w14:paraId="68C69653" w14:textId="77777777" w:rsidR="00D24A49" w:rsidRDefault="00D24A49" w:rsidP="00E6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4DCC" w14:textId="77777777" w:rsidR="00D24A49" w:rsidRDefault="00D24A49" w:rsidP="00E64287">
      <w:pPr>
        <w:spacing w:after="0" w:line="240" w:lineRule="auto"/>
      </w:pPr>
      <w:r>
        <w:separator/>
      </w:r>
    </w:p>
  </w:footnote>
  <w:footnote w:type="continuationSeparator" w:id="0">
    <w:p w14:paraId="66C8B10E" w14:textId="77777777" w:rsidR="00D24A49" w:rsidRDefault="00D24A49" w:rsidP="00E6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F7B3E"/>
    <w:multiLevelType w:val="multilevel"/>
    <w:tmpl w:val="7AD2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30D7"/>
    <w:rsid w:val="000031BB"/>
    <w:rsid w:val="00014EA0"/>
    <w:rsid w:val="0009328E"/>
    <w:rsid w:val="000D11D3"/>
    <w:rsid w:val="00113ED3"/>
    <w:rsid w:val="001268CA"/>
    <w:rsid w:val="001F38CD"/>
    <w:rsid w:val="002311B1"/>
    <w:rsid w:val="002A5CA3"/>
    <w:rsid w:val="00300400"/>
    <w:rsid w:val="003A25B5"/>
    <w:rsid w:val="003C0250"/>
    <w:rsid w:val="003F114E"/>
    <w:rsid w:val="0044453E"/>
    <w:rsid w:val="004869FC"/>
    <w:rsid w:val="00491C82"/>
    <w:rsid w:val="004B28DB"/>
    <w:rsid w:val="004D0754"/>
    <w:rsid w:val="00560B9D"/>
    <w:rsid w:val="005950CF"/>
    <w:rsid w:val="005B68E0"/>
    <w:rsid w:val="006630D7"/>
    <w:rsid w:val="00666B87"/>
    <w:rsid w:val="00696454"/>
    <w:rsid w:val="00696DF5"/>
    <w:rsid w:val="00725819"/>
    <w:rsid w:val="00762170"/>
    <w:rsid w:val="00786492"/>
    <w:rsid w:val="00791523"/>
    <w:rsid w:val="007E304D"/>
    <w:rsid w:val="00823F56"/>
    <w:rsid w:val="008536B6"/>
    <w:rsid w:val="008610A7"/>
    <w:rsid w:val="008A0E29"/>
    <w:rsid w:val="008B602A"/>
    <w:rsid w:val="008D09AF"/>
    <w:rsid w:val="008F5992"/>
    <w:rsid w:val="0095472A"/>
    <w:rsid w:val="00992128"/>
    <w:rsid w:val="009C3B52"/>
    <w:rsid w:val="009C7AB7"/>
    <w:rsid w:val="009F1F94"/>
    <w:rsid w:val="00A0640E"/>
    <w:rsid w:val="00A257AE"/>
    <w:rsid w:val="00A31C37"/>
    <w:rsid w:val="00A331D6"/>
    <w:rsid w:val="00A4706A"/>
    <w:rsid w:val="00A47356"/>
    <w:rsid w:val="00A8541A"/>
    <w:rsid w:val="00AA3EA0"/>
    <w:rsid w:val="00B3373E"/>
    <w:rsid w:val="00B777C3"/>
    <w:rsid w:val="00B84004"/>
    <w:rsid w:val="00BB49D7"/>
    <w:rsid w:val="00BF29B7"/>
    <w:rsid w:val="00C11EF6"/>
    <w:rsid w:val="00C5021E"/>
    <w:rsid w:val="00C5760F"/>
    <w:rsid w:val="00C74628"/>
    <w:rsid w:val="00C9465A"/>
    <w:rsid w:val="00CA76D0"/>
    <w:rsid w:val="00CE1F91"/>
    <w:rsid w:val="00D24A49"/>
    <w:rsid w:val="00D572A5"/>
    <w:rsid w:val="00D75420"/>
    <w:rsid w:val="00D76C44"/>
    <w:rsid w:val="00D947E2"/>
    <w:rsid w:val="00DA6886"/>
    <w:rsid w:val="00DA6AC2"/>
    <w:rsid w:val="00DB6C21"/>
    <w:rsid w:val="00E13944"/>
    <w:rsid w:val="00E33994"/>
    <w:rsid w:val="00E405C9"/>
    <w:rsid w:val="00E45FD0"/>
    <w:rsid w:val="00E64287"/>
    <w:rsid w:val="00E72E68"/>
    <w:rsid w:val="00E85314"/>
    <w:rsid w:val="00E8791F"/>
    <w:rsid w:val="00ED73F2"/>
    <w:rsid w:val="00F00508"/>
    <w:rsid w:val="00F25CAD"/>
    <w:rsid w:val="00F34C99"/>
    <w:rsid w:val="00F57533"/>
    <w:rsid w:val="00FB6468"/>
    <w:rsid w:val="00FE3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58EE"/>
  <w15:docId w15:val="{45934FF2-352A-4020-9F6F-CD98081B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6C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7533"/>
    <w:pPr>
      <w:ind w:left="720"/>
      <w:contextualSpacing/>
    </w:pPr>
  </w:style>
  <w:style w:type="paragraph" w:styleId="Antrats">
    <w:name w:val="header"/>
    <w:basedOn w:val="prastasis"/>
    <w:link w:val="AntratsDiagrama"/>
    <w:uiPriority w:val="99"/>
    <w:unhideWhenUsed/>
    <w:rsid w:val="00E642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4287"/>
  </w:style>
  <w:style w:type="paragraph" w:styleId="Porat">
    <w:name w:val="footer"/>
    <w:basedOn w:val="prastasis"/>
    <w:link w:val="PoratDiagrama"/>
    <w:uiPriority w:val="99"/>
    <w:unhideWhenUsed/>
    <w:rsid w:val="00E642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4287"/>
  </w:style>
  <w:style w:type="paragraph" w:styleId="Debesliotekstas">
    <w:name w:val="Balloon Text"/>
    <w:basedOn w:val="prastasis"/>
    <w:link w:val="DebesliotekstasDiagrama"/>
    <w:uiPriority w:val="99"/>
    <w:semiHidden/>
    <w:unhideWhenUsed/>
    <w:rsid w:val="00ED73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6111">
      <w:bodyDiv w:val="1"/>
      <w:marLeft w:val="0"/>
      <w:marRight w:val="0"/>
      <w:marTop w:val="0"/>
      <w:marBottom w:val="0"/>
      <w:divBdr>
        <w:top w:val="none" w:sz="0" w:space="0" w:color="auto"/>
        <w:left w:val="none" w:sz="0" w:space="0" w:color="auto"/>
        <w:bottom w:val="none" w:sz="0" w:space="0" w:color="auto"/>
        <w:right w:val="none" w:sz="0" w:space="0" w:color="auto"/>
      </w:divBdr>
    </w:div>
    <w:div w:id="10244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0A63-8C81-4773-8E00-FAF5A11D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3477</Words>
  <Characters>1982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Andrius Markuckas</cp:lastModifiedBy>
  <cp:revision>67</cp:revision>
  <cp:lastPrinted>2021-09-21T07:55:00Z</cp:lastPrinted>
  <dcterms:created xsi:type="dcterms:W3CDTF">2015-09-23T12:01:00Z</dcterms:created>
  <dcterms:modified xsi:type="dcterms:W3CDTF">2021-10-06T10:42:00Z</dcterms:modified>
</cp:coreProperties>
</file>